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b/>
          <w:i w:val="0"/>
          <w:color w:val="9A6420"/>
          <w:sz w:val="18"/>
        </w:rPr>
        <w:t>Fiche pratique n° 29 · Annuaire · Dispositifs et territoires</w:t>
      </w:r>
    </w:p>
    <w:p>
      <w:r>
        <w:rPr>
          <w:rFonts w:ascii="Georgia" w:hAnsi="Georgia"/>
          <w:b/>
          <w:color w:val="14304F"/>
          <w:sz w:val="44"/>
        </w:rPr>
        <w:t>Annuaire : intervenir en milieu pénitentiaire (Culture-Justice)</w:t>
      </w:r>
    </w:p>
    <w:p>
      <w:pPr>
        <w:spacing w:after="80"/>
      </w:pPr>
      <w:r>
        <w:rPr>
          <w:b w:val="0"/>
          <w:i w:val="0"/>
          <w:color w:val="444444"/>
          <w:sz w:val="22"/>
        </w:rPr>
        <w:t>Pour intervenir en détention ou auprès de personnes suivies en milieu ouvert, tout commence par le service pénitentiaire de votre département, et se poursuit souvent par un appel régional. Cette fiche rassemble les pages publiques qui vous y mènent : textes officiels, annuaires, relais régionaux, appels récurrents et lectures. Elle prolonge le compte rendu du webinaire « Le dispositif culture-justice est-il intéressant pour les artistes ? ». Liens vérifiés le 4 octobre 2026.</w:t>
      </w:r>
    </w:p>
    <w:p>
      <w:pPr>
        <w:spacing w:before="280" w:after="120"/>
      </w:pPr>
      <w:r>
        <w:rPr>
          <w:b/>
          <w:color w:val="9A6420"/>
          <w:sz w:val="28"/>
        </w:rPr>
        <w:t xml:space="preserve">1  </w:t>
      </w:r>
      <w:r>
        <w:rPr>
          <w:rFonts w:ascii="Georgia" w:hAnsi="Georgia"/>
          <w:b/>
          <w:color w:val="14304F"/>
          <w:sz w:val="28"/>
        </w:rPr>
        <w:t>Le mode d'emploi en bref</w:t>
      </w:r>
    </w:p>
    <w:p>
      <w:pPr>
        <w:spacing w:after="80"/>
      </w:pPr>
      <w:r>
        <w:rPr>
          <w:b w:val="0"/>
          <w:i w:val="0"/>
        </w:rPr>
        <w:t xml:space="preserve">Le dispositif se lit de haut en bas. Les ministères de la Culture et de la Justice fixent le cadre par des protocoles : le quatrième a été signé le 14 mars 2022. En région, la </w:t>
      </w:r>
      <w:r>
        <w:rPr>
          <w:b/>
          <w:i w:val="0"/>
        </w:rPr>
        <w:t>DRAC</w:t>
      </w:r>
      <w:r>
        <w:rPr>
          <w:b w:val="0"/>
          <w:i w:val="0"/>
        </w:rPr>
        <w:t xml:space="preserve"> (direction régionale des affaires culturelles) et la </w:t>
      </w:r>
      <w:r>
        <w:rPr>
          <w:b/>
          <w:i w:val="0"/>
        </w:rPr>
        <w:t>DISP</w:t>
      </w:r>
      <w:r>
        <w:rPr>
          <w:b w:val="0"/>
          <w:i w:val="0"/>
        </w:rPr>
        <w:t xml:space="preserve"> (direction interrégionale des services pénitentiaires), avec la direction interrégionale de la protection judiciaire de la jeunesse (</w:t>
      </w:r>
      <w:r>
        <w:rPr>
          <w:b/>
          <w:i w:val="0"/>
        </w:rPr>
        <w:t>PJJ</w:t>
      </w:r>
      <w:r>
        <w:rPr>
          <w:b w:val="0"/>
          <w:i w:val="0"/>
        </w:rPr>
        <w:t xml:space="preserve">) pour les mineurs, financent un appel à projets annuel. Dans chaque département, le </w:t>
      </w:r>
      <w:r>
        <w:rPr>
          <w:b/>
          <w:i w:val="0"/>
        </w:rPr>
        <w:t>SPIP</w:t>
      </w:r>
      <w:r>
        <w:rPr>
          <w:b w:val="0"/>
          <w:i w:val="0"/>
        </w:rPr>
        <w:t xml:space="preserve"> (service pénitentiaire d'insertion et de probation) organise la programmation culturelle avec le chef d'établissement (code pénitentiaire, art. D414-6) : son coordinateur culturel choisit les projets.</w:t>
      </w:r>
    </w:p>
    <w:tbl>
      <w:tblPr>
        <w:tblStyle w:val="TableGrid"/>
        <w:tblW w:type="auto" w:w="0"/>
        <w:tblLook w:firstColumn="1" w:firstRow="1" w:lastColumn="0" w:lastRow="0" w:noHBand="0" w:noVBand="1" w:val="04A0"/>
      </w:tblPr>
      <w:tblGrid>
        <w:gridCol w:w="3289"/>
        <w:gridCol w:w="3289"/>
        <w:gridCol w:w="3289"/>
      </w:tblGrid>
      <w:tr>
        <w:tc>
          <w:tcPr>
            <w:tcW w:type="dxa" w:w="3289"/>
          </w:tcPr>
          <w:p>
            <w:r>
              <w:rPr>
                <w:b/>
                <w:i w:val="0"/>
                <w:color w:val="14304F"/>
              </w:rPr>
              <w:t>Les fonds propres du SPIP</w:t>
            </w:r>
          </w:p>
          <w:p>
            <w:r>
              <w:rPr>
                <w:b w:val="0"/>
                <w:i w:val="0"/>
                <w:sz w:val="19"/>
              </w:rPr>
              <w:t>À solliciter directement : c'est la voie d'un premier projet.</w:t>
            </w:r>
          </w:p>
        </w:tc>
        <w:tc>
          <w:tcPr>
            <w:tcW w:type="dxa" w:w="3289"/>
          </w:tcPr>
          <w:p>
            <w:r>
              <w:rPr>
                <w:b/>
                <w:i w:val="0"/>
                <w:color w:val="14304F"/>
              </w:rPr>
              <w:t>L'appel Culture et Justice</w:t>
            </w:r>
          </w:p>
          <w:p>
            <w:r>
              <w:rPr>
                <w:b w:val="0"/>
                <w:i w:val="0"/>
                <w:sz w:val="19"/>
              </w:rPr>
              <w:t>Régional et mieux doté. Il paie ateliers, rémunération et défraiement des intervenants, jamais l'investissement.</w:t>
            </w:r>
          </w:p>
        </w:tc>
        <w:tc>
          <w:tcPr>
            <w:tcW w:type="dxa" w:w="3289"/>
          </w:tcPr>
          <w:p>
            <w:r>
              <w:rPr>
                <w:b/>
                <w:i w:val="0"/>
                <w:color w:val="14304F"/>
              </w:rPr>
              <w:t>Les appels thématiques</w:t>
            </w:r>
          </w:p>
          <w:p>
            <w:r>
              <w:rPr>
                <w:b w:val="0"/>
                <w:i w:val="0"/>
                <w:sz w:val="19"/>
              </w:rPr>
              <w:t>Prévention de la délinquance (FIPD) et autres : ouverts aux collectivités, aux établissements publics et aux associations. Il faut passer par une structure.</w:t>
            </w:r>
          </w:p>
        </w:tc>
      </w:tr>
    </w:tbl>
    <w:p>
      <w:pPr>
        <w:spacing w:after="40"/>
      </w:pPr>
    </w:p>
    <w:p>
      <w:pPr>
        <w:spacing w:after="60"/>
      </w:pPr>
      <w:r>
        <w:rPr>
          <w:b/>
          <w:color w:val="9A6420"/>
        </w:rPr>
        <w:t xml:space="preserve">1. </w:t>
      </w:r>
      <w:r>
        <w:rPr>
          <w:b/>
          <w:i w:val="0"/>
          <w:color w:val="14304F"/>
        </w:rPr>
        <w:t xml:space="preserve">Repérez le SPIP de votre département </w:t>
      </w:r>
      <w:r>
        <w:rPr>
          <w:b w:val="0"/>
          <w:i w:val="0"/>
        </w:rPr>
        <w:t>avec les annuaires de la partie 3, ou la mission régionale si votre région en a une (partie 4).</w:t>
      </w:r>
    </w:p>
    <w:p>
      <w:pPr>
        <w:spacing w:after="60"/>
      </w:pPr>
      <w:r>
        <w:rPr>
          <w:b/>
          <w:color w:val="9A6420"/>
        </w:rPr>
        <w:t xml:space="preserve">2. </w:t>
      </w:r>
      <w:r>
        <w:rPr>
          <w:b/>
          <w:i w:val="0"/>
          <w:color w:val="14304F"/>
        </w:rPr>
        <w:t xml:space="preserve">Appelez le coordinateur culturel, </w:t>
      </w:r>
      <w:r>
        <w:rPr>
          <w:b w:val="0"/>
          <w:i w:val="0"/>
        </w:rPr>
        <w:t>sans projet figé : présentez vos idées et demandez-lui si elles conviennent à un public placé sous main de justice. Le téléphone, doublé d'un mail.</w:t>
      </w:r>
    </w:p>
    <w:p>
      <w:pPr>
        <w:spacing w:after="60"/>
      </w:pPr>
      <w:r>
        <w:rPr>
          <w:b/>
          <w:color w:val="9A6420"/>
        </w:rPr>
        <w:t xml:space="preserve">3. </w:t>
      </w:r>
      <w:r>
        <w:rPr>
          <w:b/>
          <w:i w:val="0"/>
          <w:color w:val="14304F"/>
        </w:rPr>
        <w:t xml:space="preserve">Commencez petit : </w:t>
      </w:r>
      <w:r>
        <w:rPr>
          <w:b w:val="0"/>
          <w:i w:val="0"/>
        </w:rPr>
        <w:t>un premier projet sur le budget propre du SPIP. Les jurys régionaux ne retiennent pas des inconnus.</w:t>
      </w:r>
    </w:p>
    <w:p>
      <w:pPr>
        <w:spacing w:after="60"/>
      </w:pPr>
      <w:r>
        <w:rPr>
          <w:b/>
          <w:color w:val="9A6420"/>
        </w:rPr>
        <w:t xml:space="preserve">4. </w:t>
      </w:r>
      <w:r>
        <w:rPr>
          <w:b/>
          <w:i w:val="0"/>
          <w:color w:val="14304F"/>
        </w:rPr>
        <w:t xml:space="preserve">Co-construisez le dossier régional. </w:t>
      </w:r>
      <w:r>
        <w:rPr>
          <w:b w:val="0"/>
          <w:i w:val="0"/>
        </w:rPr>
        <w:t>Aucun dossier Culture et Justice ne peut être déposé sans contact préalable avec l'établissement ou le service, et plusieurs régions demandent ce contact dès l'année précédente. Prenez contact l'été pour l'année suivante.</w:t>
      </w:r>
    </w:p>
    <w:p>
      <w:pPr>
        <w:spacing w:after="60"/>
      </w:pPr>
      <w:r>
        <w:rPr>
          <w:b/>
          <w:color w:val="9A6420"/>
        </w:rPr>
        <w:t xml:space="preserve">5. </w:t>
      </w:r>
      <w:r>
        <w:rPr>
          <w:b/>
          <w:i w:val="0"/>
          <w:color w:val="14304F"/>
        </w:rPr>
        <w:t xml:space="preserve">Décidez si vous portez le projet ou si vous intervenez : </w:t>
      </w:r>
      <w:r>
        <w:rPr>
          <w:b w:val="0"/>
          <w:i w:val="0"/>
        </w:rPr>
        <w:t>une association locale ou une fédération peut porter l'administratif et vous laisser l'intervention.</w:t>
      </w:r>
    </w:p>
    <w:tbl>
      <w:tblPr>
        <w:tblStyle w:val="TableGrid"/>
        <w:tblW w:type="auto" w:w="0"/>
        <w:tblLook w:firstColumn="1" w:firstRow="1" w:lastColumn="0" w:lastRow="0" w:noHBand="0" w:noVBand="1" w:val="04A0"/>
      </w:tblPr>
      <w:tblGrid>
        <w:gridCol w:w="9866"/>
      </w:tblGrid>
      <w:tr>
        <w:tc>
          <w:tcPr>
            <w:tcW w:type="dxa" w:w="9866"/>
            <w:shd w:val="clear" w:color="auto" w:fill="f3f4f7"/>
          </w:tcPr>
          <w:p>
            <w:r>
              <w:rPr>
                <w:b/>
                <w:i w:val="0"/>
                <w:color w:val="9A6420"/>
                <w:sz w:val="17"/>
              </w:rPr>
              <w:t>CALENDRIER ET REPÈRES, AU 4 OCTOBRE 2026</w:t>
            </w:r>
          </w:p>
          <w:p>
            <w:r>
              <w:rPr>
                <w:b w:val="0"/>
                <w:i w:val="0"/>
                <w:sz w:val="19"/>
              </w:rPr>
              <w:t>Deux appels régionaux sont ouverts : Occitanie, jusqu'au 31 octobre 2026, et Nouvelle-Aquitaine, jusqu'au 13 novembre 2026, pour des projets menés en 2027. Lors de la dernière session, les régions de métropole recevaient les dossiers entre la fin de l'été et janvier, pour l'année suivante ; le volet mineurs d'Île-de-France, de mars à mai. Montants publiés : de 1 000 à 5 000 € par projet en Bourgogne-Franche-Comté, 4 000 € en moyenne en Île-de-France, 200 000 € pour environ 70 projets par an en Auvergne-Rhône-Alpes. La participation de la DRAC à la rémunération des artistes est de 60 € de l'heure en Grand Est, et c'est le taux horaire indicatif en Occitanie.</w:t>
            </w:r>
          </w:p>
        </w:tc>
      </w:tr>
    </w:tbl>
    <w:p>
      <w:pPr>
        <w:spacing w:after="40"/>
      </w:pPr>
    </w:p>
    <w:p>
      <w:pPr>
        <w:spacing w:after="80"/>
      </w:pPr>
      <w:r>
        <w:rPr>
          <w:b w:val="0"/>
          <w:i w:val="0"/>
        </w:rPr>
        <w:t>Cette fiche ne donne aucun nom ni aucune coordonnée personnelle : les interlocuteurs changent souvent, et les pages citées les tiennent à jour.</w:t>
      </w:r>
    </w:p>
    <w:p>
      <w:pPr>
        <w:spacing w:before="280" w:after="120"/>
      </w:pPr>
      <w:r>
        <w:rPr>
          <w:b/>
          <w:color w:val="9A6420"/>
          <w:sz w:val="28"/>
        </w:rPr>
        <w:t xml:space="preserve">2  </w:t>
      </w:r>
      <w:r>
        <w:rPr>
          <w:rFonts w:ascii="Georgia" w:hAnsi="Georgia"/>
          <w:b/>
          <w:color w:val="14304F"/>
          <w:sz w:val="28"/>
        </w:rPr>
        <w:t>Textes et pages officielles</w:t>
      </w:r>
    </w:p>
    <w:tbl>
      <w:tblPr>
        <w:tblStyle w:val="TableGrid"/>
        <w:tblW w:type="auto" w:w="0"/>
        <w:tblLook w:firstColumn="1" w:firstRow="1" w:lastColumn="0" w:lastRow="0" w:noHBand="0" w:noVBand="1" w:val="04A0"/>
      </w:tblPr>
      <w:tblGrid>
        <w:gridCol w:w="2466"/>
        <w:gridCol w:w="2466"/>
        <w:gridCol w:w="2466"/>
        <w:gridCol w:w="2466"/>
      </w:tblGrid>
      <w:tr>
        <w:tc>
          <w:tcPr>
            <w:tcW w:type="dxa" w:w="2466"/>
            <w:shd w:val="clear" w:color="auto" w:fill="e4eaf3"/>
          </w:tcPr>
          <w:p>
            <w:r>
              <w:rPr>
                <w:b/>
                <w:i w:val="0"/>
                <w:color w:val="14304F"/>
                <w:sz w:val="19"/>
              </w:rPr>
              <w:t>Structure ou ressource</w:t>
            </w:r>
          </w:p>
        </w:tc>
        <w:tc>
          <w:tcPr>
            <w:tcW w:type="dxa" w:w="2466"/>
            <w:shd w:val="clear" w:color="auto" w:fill="e4eaf3"/>
          </w:tcPr>
          <w:p>
            <w:r>
              <w:rPr>
                <w:b/>
                <w:i w:val="0"/>
                <w:color w:val="14304F"/>
                <w:sz w:val="19"/>
              </w:rPr>
              <w:t>Échelle, lieu</w:t>
            </w:r>
          </w:p>
        </w:tc>
        <w:tc>
          <w:tcPr>
            <w:tcW w:type="dxa" w:w="2466"/>
            <w:shd w:val="clear" w:color="auto" w:fill="e4eaf3"/>
          </w:tcPr>
          <w:p>
            <w:r>
              <w:rPr>
                <w:b/>
                <w:i w:val="0"/>
                <w:color w:val="14304F"/>
                <w:sz w:val="19"/>
              </w:rPr>
              <w:t>Ce qu'on y trouve</w:t>
            </w:r>
          </w:p>
        </w:tc>
        <w:tc>
          <w:tcPr>
            <w:tcW w:type="dxa" w:w="2466"/>
            <w:shd w:val="clear" w:color="auto" w:fill="e4eaf3"/>
          </w:tcPr>
          <w:p>
            <w:r>
              <w:rPr>
                <w:b/>
                <w:i w:val="0"/>
                <w:color w:val="14304F"/>
                <w:sz w:val="19"/>
              </w:rPr>
              <w:t>Lien</w:t>
            </w:r>
          </w:p>
        </w:tc>
      </w:tr>
      <w:tr>
        <w:tc>
          <w:tcPr>
            <w:tcW w:type="dxa" w:w="2466"/>
            <w:shd w:val="clear" w:color="auto" w:fill="f3f4f7"/>
          </w:tcPr>
          <w:p>
            <w:r>
              <w:rPr>
                <w:b/>
                <w:i w:val="0"/>
                <w:sz w:val="19"/>
              </w:rPr>
              <w:t>Ministère de la Culture</w:t>
            </w:r>
            <w:r>
              <w:rPr>
                <w:b/>
                <w:i w:val="0"/>
                <w:sz w:val="19"/>
              </w:rPr>
              <w:t xml:space="preserve"> · « Culture et Justice »</w:t>
            </w:r>
          </w:p>
        </w:tc>
        <w:tc>
          <w:tcPr>
            <w:tcW w:type="dxa" w:w="2466"/>
          </w:tcPr>
          <w:p>
            <w:r>
              <w:rPr>
                <w:b w:val="0"/>
                <w:i w:val="0"/>
                <w:sz w:val="19"/>
              </w:rPr>
              <w:t>National</w:t>
            </w:r>
          </w:p>
        </w:tc>
        <w:tc>
          <w:tcPr>
            <w:tcW w:type="dxa" w:w="2466"/>
          </w:tcPr>
          <w:p>
            <w:r>
              <w:rPr>
                <w:b w:val="0"/>
                <w:i w:val="0"/>
                <w:sz w:val="19"/>
              </w:rPr>
              <w:t>La politique interministérielle : rôle des directions nationales, déclinaison en régions (DRAC, 9 DISP, 9 directions interrégionales de la PJJ), cofinancements possibles</w:t>
            </w:r>
          </w:p>
        </w:tc>
        <w:tc>
          <w:tcPr>
            <w:tcW w:type="dxa" w:w="2466"/>
          </w:tcPr>
          <w:p>
            <w:r>
              <w:rPr>
                <w:b w:val="0"/>
                <w:i w:val="0"/>
                <w:sz w:val="19"/>
              </w:rPr>
              <w:t>culture.gouv.fr (https://www.culture.gouv.fr/thematiques/developpement-culturel/le-developpement-culturel-en-france/culture-et-justice)</w:t>
            </w:r>
          </w:p>
        </w:tc>
      </w:tr>
      <w:tr>
        <w:tc>
          <w:tcPr>
            <w:tcW w:type="dxa" w:w="2466"/>
            <w:shd w:val="clear" w:color="auto" w:fill="f3f4f7"/>
          </w:tcPr>
          <w:p>
            <w:r>
              <w:rPr>
                <w:b/>
                <w:i w:val="0"/>
                <w:sz w:val="19"/>
              </w:rPr>
              <w:t>Ministère de la Culture</w:t>
            </w:r>
            <w:r>
              <w:rPr>
                <w:b/>
                <w:i w:val="0"/>
                <w:sz w:val="19"/>
              </w:rPr>
              <w:t xml:space="preserve"> · Historique et textes de référence</w:t>
            </w:r>
          </w:p>
        </w:tc>
        <w:tc>
          <w:tcPr>
            <w:tcW w:type="dxa" w:w="2466"/>
          </w:tcPr>
          <w:p>
            <w:r>
              <w:rPr>
                <w:b w:val="0"/>
                <w:i w:val="0"/>
                <w:sz w:val="19"/>
              </w:rPr>
              <w:t>National</w:t>
            </w:r>
          </w:p>
        </w:tc>
        <w:tc>
          <w:tcPr>
            <w:tcW w:type="dxa" w:w="2466"/>
          </w:tcPr>
          <w:p>
            <w:r>
              <w:rPr>
                <w:b w:val="0"/>
                <w:i w:val="0"/>
                <w:sz w:val="19"/>
              </w:rPr>
              <w:t>Les quatre protocoles (1986, 1990, 2009, 2022), la circulaire d'application du 3 mai 2012 et ses sept fiches techniques (champs culturels, espaces, convention locale, évaluation…)</w:t>
            </w:r>
          </w:p>
        </w:tc>
        <w:tc>
          <w:tcPr>
            <w:tcW w:type="dxa" w:w="2466"/>
          </w:tcPr>
          <w:p>
            <w:r>
              <w:rPr>
                <w:b w:val="0"/>
                <w:i w:val="0"/>
                <w:sz w:val="19"/>
              </w:rPr>
              <w:t>culture.gouv.fr (https://www.culture.gouv.fr/thematiques/developpement-culturel/le-developpement-culturel-en-france/culture-et-justice/historique-et-textes-de-reference)</w:t>
            </w:r>
          </w:p>
        </w:tc>
      </w:tr>
      <w:tr>
        <w:tc>
          <w:tcPr>
            <w:tcW w:type="dxa" w:w="2466"/>
            <w:shd w:val="clear" w:color="auto" w:fill="f3f4f7"/>
          </w:tcPr>
          <w:p>
            <w:r>
              <w:rPr>
                <w:b/>
                <w:i w:val="0"/>
                <w:sz w:val="19"/>
              </w:rPr>
              <w:t>Quatrième protocole Culture-Justice</w:t>
            </w:r>
            <w:r>
              <w:rPr>
                <w:b/>
                <w:i w:val="0"/>
                <w:sz w:val="19"/>
              </w:rPr>
              <w:t>, 14 mars 2022</w:t>
            </w:r>
          </w:p>
        </w:tc>
        <w:tc>
          <w:tcPr>
            <w:tcW w:type="dxa" w:w="2466"/>
          </w:tcPr>
          <w:p>
            <w:r>
              <w:rPr>
                <w:b w:val="0"/>
                <w:i w:val="0"/>
                <w:sz w:val="19"/>
              </w:rPr>
              <w:t>National</w:t>
            </w:r>
          </w:p>
        </w:tc>
        <w:tc>
          <w:tcPr>
            <w:tcW w:type="dxa" w:w="2466"/>
          </w:tcPr>
          <w:p>
            <w:r>
              <w:rPr>
                <w:b w:val="0"/>
                <w:i w:val="0"/>
                <w:sz w:val="19"/>
              </w:rPr>
              <w:t>Le texte signé par les deux ministères, conclu pour cinq ans</w:t>
            </w:r>
          </w:p>
        </w:tc>
        <w:tc>
          <w:tcPr>
            <w:tcW w:type="dxa" w:w="2466"/>
          </w:tcPr>
          <w:p>
            <w:r>
              <w:rPr>
                <w:b w:val="0"/>
                <w:i w:val="0"/>
                <w:sz w:val="19"/>
              </w:rPr>
              <w:t>culture.gouv.fr (https://www.culture.gouv.fr/Media/Thematiques/Developpement-culturel/Files/Culture-Justice/Protocole-Culture-Justice-2022)</w:t>
            </w:r>
          </w:p>
        </w:tc>
      </w:tr>
      <w:tr>
        <w:tc>
          <w:tcPr>
            <w:tcW w:type="dxa" w:w="2466"/>
            <w:shd w:val="clear" w:color="auto" w:fill="f3f4f7"/>
          </w:tcPr>
          <w:p>
            <w:r>
              <w:rPr>
                <w:b/>
                <w:i w:val="0"/>
                <w:sz w:val="19"/>
              </w:rPr>
              <w:t>Ministère de la Culture</w:t>
            </w:r>
            <w:r>
              <w:rPr>
                <w:b/>
                <w:i w:val="0"/>
                <w:sz w:val="19"/>
              </w:rPr>
              <w:t xml:space="preserve"> · Actualités Culture et Justice</w:t>
            </w:r>
          </w:p>
        </w:tc>
        <w:tc>
          <w:tcPr>
            <w:tcW w:type="dxa" w:w="2466"/>
          </w:tcPr>
          <w:p>
            <w:r>
              <w:rPr>
                <w:b w:val="0"/>
                <w:i w:val="0"/>
                <w:sz w:val="19"/>
              </w:rPr>
              <w:t>National</w:t>
            </w:r>
          </w:p>
        </w:tc>
        <w:tc>
          <w:tcPr>
            <w:tcW w:type="dxa" w:w="2466"/>
          </w:tcPr>
          <w:p>
            <w:r>
              <w:rPr>
                <w:b w:val="0"/>
                <w:i w:val="0"/>
                <w:sz w:val="19"/>
              </w:rPr>
              <w:t>Conventions, manifestations nationales, études ; dernière publication le 2 juin 2026</w:t>
            </w:r>
          </w:p>
        </w:tc>
        <w:tc>
          <w:tcPr>
            <w:tcW w:type="dxa" w:w="2466"/>
          </w:tcPr>
          <w:p>
            <w:r>
              <w:rPr>
                <w:b w:val="0"/>
                <w:i w:val="0"/>
                <w:sz w:val="19"/>
              </w:rPr>
              <w:t>culture.gouv.fr (https://www.culture.gouv.fr/thematiques/developpement-culturel/le-developpement-culturel-en-france/culture-et-justice/actualites)</w:t>
            </w:r>
          </w:p>
        </w:tc>
      </w:tr>
      <w:tr>
        <w:tc>
          <w:tcPr>
            <w:tcW w:type="dxa" w:w="2466"/>
            <w:shd w:val="clear" w:color="auto" w:fill="f3f4f7"/>
          </w:tcPr>
          <w:p>
            <w:r>
              <w:rPr>
                <w:b/>
                <w:i w:val="0"/>
                <w:sz w:val="19"/>
              </w:rPr>
              <w:t>Ministère de la Justice</w:t>
            </w:r>
            <w:r>
              <w:rPr>
                <w:b/>
                <w:i w:val="0"/>
                <w:sz w:val="19"/>
              </w:rPr>
              <w:t xml:space="preserve"> · « L'art et la culture, des leviers de réinsertion »</w:t>
            </w:r>
          </w:p>
        </w:tc>
        <w:tc>
          <w:tcPr>
            <w:tcW w:type="dxa" w:w="2466"/>
          </w:tcPr>
          <w:p>
            <w:r>
              <w:rPr>
                <w:b w:val="0"/>
                <w:i w:val="0"/>
                <w:sz w:val="19"/>
              </w:rPr>
              <w:t>National</w:t>
            </w:r>
          </w:p>
        </w:tc>
        <w:tc>
          <w:tcPr>
            <w:tcW w:type="dxa" w:w="2466"/>
          </w:tcPr>
          <w:p>
            <w:r>
              <w:rPr>
                <w:b w:val="0"/>
                <w:i w:val="0"/>
                <w:sz w:val="19"/>
              </w:rPr>
              <w:t>Le cadre vu de la Justice : qui décide de la politique culturelle d'un établissement, activités proposées, exemples ; mise à jour du 10 août 2026</w:t>
            </w:r>
          </w:p>
        </w:tc>
        <w:tc>
          <w:tcPr>
            <w:tcW w:type="dxa" w:w="2466"/>
          </w:tcPr>
          <w:p>
            <w:r>
              <w:rPr>
                <w:b w:val="0"/>
                <w:i w:val="0"/>
                <w:sz w:val="19"/>
              </w:rPr>
              <w:t>justice.gouv.fr (https://www.justice.gouv.fr/lart-culture-leviers-reinsertion-personnes-placees-main-justice)</w:t>
            </w:r>
          </w:p>
        </w:tc>
      </w:tr>
      <w:tr>
        <w:tc>
          <w:tcPr>
            <w:tcW w:type="dxa" w:w="2466"/>
            <w:shd w:val="clear" w:color="auto" w:fill="f3f4f7"/>
          </w:tcPr>
          <w:p>
            <w:r>
              <w:rPr>
                <w:b/>
                <w:i w:val="0"/>
                <w:sz w:val="19"/>
              </w:rPr>
              <w:t>Protocole régional Occitanie 2026-2030</w:t>
            </w:r>
          </w:p>
        </w:tc>
        <w:tc>
          <w:tcPr>
            <w:tcW w:type="dxa" w:w="2466"/>
          </w:tcPr>
          <w:p>
            <w:r>
              <w:rPr>
                <w:b w:val="0"/>
                <w:i w:val="0"/>
                <w:sz w:val="19"/>
              </w:rPr>
              <w:t>Occitanie</w:t>
            </w:r>
          </w:p>
        </w:tc>
        <w:tc>
          <w:tcPr>
            <w:tcW w:type="dxa" w:w="2466"/>
          </w:tcPr>
          <w:p>
            <w:r>
              <w:rPr>
                <w:b w:val="0"/>
                <w:i w:val="0"/>
                <w:sz w:val="19"/>
              </w:rPr>
              <w:t>Communiqué du 9 décembre 2025 : objectifs du protocole signé par la DRAC, la DISP de Toulouse et la direction interrégionale de la PJJ Sud (résidences, pass Culture, formations croisées)</w:t>
            </w:r>
          </w:p>
        </w:tc>
        <w:tc>
          <w:tcPr>
            <w:tcW w:type="dxa" w:w="2466"/>
          </w:tcPr>
          <w:p>
            <w:r>
              <w:rPr>
                <w:b w:val="0"/>
                <w:i w:val="0"/>
                <w:sz w:val="19"/>
              </w:rPr>
              <w:t>prefectures-regions.gouv.fr (https://www.prefectures-regions.gouv.fr/irecontenu/telechargement/133487/978808/file/20251209_CP_signature_protocole_culture_justice.pdf) (PDF)</w:t>
            </w:r>
          </w:p>
        </w:tc>
      </w:tr>
    </w:tbl>
    <w:p>
      <w:pPr>
        <w:spacing w:after="80"/>
      </w:pPr>
      <w:r>
        <w:rPr>
          <w:b w:val="0"/>
          <w:i/>
          <w:color w:val="555555"/>
          <w:sz w:val="17"/>
        </w:rPr>
        <w:t>Les articles du code pénitentiaire sur les activités culturelles (L411-1, D414-3 à D414-6) se lisent sur Légifrance.</w:t>
      </w:r>
    </w:p>
    <w:p>
      <w:pPr>
        <w:spacing w:before="280" w:after="120"/>
      </w:pPr>
      <w:r>
        <w:rPr>
          <w:b/>
          <w:color w:val="9A6420"/>
          <w:sz w:val="28"/>
        </w:rPr>
        <w:t xml:space="preserve">3  </w:t>
      </w:r>
      <w:r>
        <w:rPr>
          <w:rFonts w:ascii="Georgia" w:hAnsi="Georgia"/>
          <w:b/>
          <w:color w:val="14304F"/>
          <w:sz w:val="28"/>
        </w:rPr>
        <w:t>Trouver le bon interlocuteur</w:t>
      </w:r>
    </w:p>
    <w:tbl>
      <w:tblPr>
        <w:tblStyle w:val="TableGrid"/>
        <w:tblW w:type="auto" w:w="0"/>
        <w:tblLook w:firstColumn="1" w:firstRow="1" w:lastColumn="0" w:lastRow="0" w:noHBand="0" w:noVBand="1" w:val="04A0"/>
      </w:tblPr>
      <w:tblGrid>
        <w:gridCol w:w="2466"/>
        <w:gridCol w:w="2466"/>
        <w:gridCol w:w="2466"/>
        <w:gridCol w:w="2466"/>
      </w:tblGrid>
      <w:tr>
        <w:tc>
          <w:tcPr>
            <w:tcW w:type="dxa" w:w="2466"/>
            <w:shd w:val="clear" w:color="auto" w:fill="e4eaf3"/>
          </w:tcPr>
          <w:p>
            <w:r>
              <w:rPr>
                <w:b/>
                <w:i w:val="0"/>
                <w:color w:val="14304F"/>
                <w:sz w:val="19"/>
              </w:rPr>
              <w:t>Structure ou ressource</w:t>
            </w:r>
          </w:p>
        </w:tc>
        <w:tc>
          <w:tcPr>
            <w:tcW w:type="dxa" w:w="2466"/>
            <w:shd w:val="clear" w:color="auto" w:fill="e4eaf3"/>
          </w:tcPr>
          <w:p>
            <w:r>
              <w:rPr>
                <w:b/>
                <w:i w:val="0"/>
                <w:color w:val="14304F"/>
                <w:sz w:val="19"/>
              </w:rPr>
              <w:t>Échelle, lieu</w:t>
            </w:r>
          </w:p>
        </w:tc>
        <w:tc>
          <w:tcPr>
            <w:tcW w:type="dxa" w:w="2466"/>
            <w:shd w:val="clear" w:color="auto" w:fill="e4eaf3"/>
          </w:tcPr>
          <w:p>
            <w:r>
              <w:rPr>
                <w:b/>
                <w:i w:val="0"/>
                <w:color w:val="14304F"/>
                <w:sz w:val="19"/>
              </w:rPr>
              <w:t>Ce qu'on y trouve</w:t>
            </w:r>
          </w:p>
        </w:tc>
        <w:tc>
          <w:tcPr>
            <w:tcW w:type="dxa" w:w="2466"/>
            <w:shd w:val="clear" w:color="auto" w:fill="e4eaf3"/>
          </w:tcPr>
          <w:p>
            <w:r>
              <w:rPr>
                <w:b/>
                <w:i w:val="0"/>
                <w:color w:val="14304F"/>
                <w:sz w:val="19"/>
              </w:rPr>
              <w:t>Lien</w:t>
            </w:r>
          </w:p>
        </w:tc>
      </w:tr>
      <w:tr>
        <w:tc>
          <w:tcPr>
            <w:tcW w:type="dxa" w:w="2466"/>
            <w:shd w:val="clear" w:color="auto" w:fill="f3f4f7"/>
          </w:tcPr>
          <w:p>
            <w:r>
              <w:rPr>
                <w:b/>
                <w:i w:val="0"/>
                <w:sz w:val="19"/>
              </w:rPr>
              <w:t>Ministère de la Justice</w:t>
            </w:r>
            <w:r>
              <w:rPr>
                <w:b/>
                <w:i w:val="0"/>
                <w:sz w:val="19"/>
              </w:rPr>
              <w:t xml:space="preserve"> · Structures de réinsertion et d'emploi</w:t>
            </w:r>
          </w:p>
        </w:tc>
        <w:tc>
          <w:tcPr>
            <w:tcW w:type="dxa" w:w="2466"/>
          </w:tcPr>
          <w:p>
            <w:r>
              <w:rPr>
                <w:b w:val="0"/>
                <w:i w:val="0"/>
                <w:sz w:val="19"/>
              </w:rPr>
              <w:t>National, par commune</w:t>
            </w:r>
          </w:p>
        </w:tc>
        <w:tc>
          <w:tcPr>
            <w:tcW w:type="dxa" w:w="2466"/>
          </w:tcPr>
          <w:p>
            <w:r>
              <w:rPr>
                <w:b w:val="0"/>
                <w:i w:val="0"/>
                <w:sz w:val="19"/>
              </w:rPr>
              <w:t>Les SPIP (filtre « Services pénitentiaires d'insertion et de probation ») et leurs antennes locales</w:t>
            </w:r>
          </w:p>
        </w:tc>
        <w:tc>
          <w:tcPr>
            <w:tcW w:type="dxa" w:w="2466"/>
          </w:tcPr>
          <w:p>
            <w:r>
              <w:rPr>
                <w:b w:val="0"/>
                <w:i w:val="0"/>
                <w:sz w:val="19"/>
              </w:rPr>
              <w:t>justice.gouv.fr (https://www.justice.gouv.fr/annuaire/structures-reinsertion-demploi)</w:t>
            </w:r>
          </w:p>
        </w:tc>
      </w:tr>
      <w:tr>
        <w:tc>
          <w:tcPr>
            <w:tcW w:type="dxa" w:w="2466"/>
            <w:shd w:val="clear" w:color="auto" w:fill="f3f4f7"/>
          </w:tcPr>
          <w:p>
            <w:r>
              <w:rPr>
                <w:b/>
                <w:i w:val="0"/>
                <w:sz w:val="19"/>
              </w:rPr>
              <w:t>Ministère de la Justice</w:t>
            </w:r>
            <w:r>
              <w:rPr>
                <w:b/>
                <w:i w:val="0"/>
                <w:sz w:val="19"/>
              </w:rPr>
              <w:t xml:space="preserve"> · Établissements et services pénitentiaires</w:t>
            </w:r>
          </w:p>
        </w:tc>
        <w:tc>
          <w:tcPr>
            <w:tcW w:type="dxa" w:w="2466"/>
          </w:tcPr>
          <w:p>
            <w:r>
              <w:rPr>
                <w:b w:val="0"/>
                <w:i w:val="0"/>
                <w:sz w:val="19"/>
              </w:rPr>
              <w:t>National, par commune</w:t>
            </w:r>
          </w:p>
        </w:tc>
        <w:tc>
          <w:tcPr>
            <w:tcW w:type="dxa" w:w="2466"/>
          </w:tcPr>
          <w:p>
            <w:r>
              <w:rPr>
                <w:b w:val="0"/>
                <w:i w:val="0"/>
                <w:sz w:val="19"/>
              </w:rPr>
              <w:t>Maisons d'arrêt, centres de détention, centres pénitentiaires, et les directions interrégionales (DISP)</w:t>
            </w:r>
          </w:p>
        </w:tc>
        <w:tc>
          <w:tcPr>
            <w:tcW w:type="dxa" w:w="2466"/>
          </w:tcPr>
          <w:p>
            <w:r>
              <w:rPr>
                <w:b w:val="0"/>
                <w:i w:val="0"/>
                <w:sz w:val="19"/>
              </w:rPr>
              <w:t>justice.gouv.fr (https://www.justice.gouv.fr/annuaire/etablissements-services-penitentiaires)</w:t>
            </w:r>
          </w:p>
        </w:tc>
      </w:tr>
      <w:tr>
        <w:tc>
          <w:tcPr>
            <w:tcW w:type="dxa" w:w="2466"/>
            <w:shd w:val="clear" w:color="auto" w:fill="f3f4f7"/>
          </w:tcPr>
          <w:p>
            <w:r>
              <w:rPr>
                <w:b/>
                <w:i w:val="0"/>
                <w:sz w:val="19"/>
              </w:rPr>
              <w:t>Ministère de la Culture</w:t>
            </w:r>
            <w:r>
              <w:rPr>
                <w:b/>
                <w:i w:val="0"/>
                <w:sz w:val="19"/>
              </w:rPr>
              <w:t xml:space="preserve"> · Les DRAC</w:t>
            </w:r>
          </w:p>
        </w:tc>
        <w:tc>
          <w:tcPr>
            <w:tcW w:type="dxa" w:w="2466"/>
          </w:tcPr>
          <w:p>
            <w:r>
              <w:rPr>
                <w:b w:val="0"/>
                <w:i w:val="0"/>
                <w:sz w:val="19"/>
              </w:rPr>
              <w:t>National</w:t>
            </w:r>
          </w:p>
        </w:tc>
        <w:tc>
          <w:tcPr>
            <w:tcW w:type="dxa" w:w="2466"/>
          </w:tcPr>
          <w:p>
            <w:r>
              <w:rPr>
                <w:b w:val="0"/>
                <w:i w:val="0"/>
                <w:sz w:val="19"/>
              </w:rPr>
              <w:t>Les directions régionales et les directions des affaires culturelles d'outre-mer, avec le lien vers le site de chacune</w:t>
            </w:r>
          </w:p>
        </w:tc>
        <w:tc>
          <w:tcPr>
            <w:tcW w:type="dxa" w:w="2466"/>
          </w:tcPr>
          <w:p>
            <w:r>
              <w:rPr>
                <w:b w:val="0"/>
                <w:i w:val="0"/>
                <w:sz w:val="19"/>
              </w:rPr>
              <w:t>culture.gouv.fr (https://www.culture.gouv.fr/regions)</w:t>
            </w:r>
          </w:p>
        </w:tc>
      </w:tr>
      <w:tr>
        <w:tc>
          <w:tcPr>
            <w:tcW w:type="dxa" w:w="2466"/>
            <w:shd w:val="clear" w:color="auto" w:fill="f3f4f7"/>
          </w:tcPr>
          <w:p>
            <w:r>
              <w:rPr>
                <w:b/>
                <w:i w:val="0"/>
                <w:sz w:val="19"/>
              </w:rPr>
              <w:t>Lecture-Justice</w:t>
            </w:r>
            <w:r>
              <w:rPr>
                <w:b/>
                <w:i w:val="0"/>
                <w:sz w:val="19"/>
              </w:rPr>
              <w:t xml:space="preserve"> · Annuaire</w:t>
            </w:r>
          </w:p>
        </w:tc>
        <w:tc>
          <w:tcPr>
            <w:tcW w:type="dxa" w:w="2466"/>
          </w:tcPr>
          <w:p>
            <w:r>
              <w:rPr>
                <w:b w:val="0"/>
                <w:i w:val="0"/>
                <w:sz w:val="19"/>
              </w:rPr>
              <w:t>National, par région</w:t>
            </w:r>
          </w:p>
        </w:tc>
        <w:tc>
          <w:tcPr>
            <w:tcW w:type="dxa" w:w="2466"/>
          </w:tcPr>
          <w:p>
            <w:r>
              <w:rPr>
                <w:b w:val="0"/>
                <w:i w:val="0"/>
                <w:sz w:val="19"/>
              </w:rPr>
              <w:t>245 structures, filtrables par région et par type : SPIP, DISP, DRAC, directions de la PJJ, missions régionales Culture-Justice, structures régionales pour le livre</w:t>
            </w:r>
          </w:p>
        </w:tc>
        <w:tc>
          <w:tcPr>
            <w:tcW w:type="dxa" w:w="2466"/>
          </w:tcPr>
          <w:p>
            <w:r>
              <w:rPr>
                <w:b w:val="0"/>
                <w:i w:val="0"/>
                <w:sz w:val="19"/>
              </w:rPr>
              <w:t>lecture-justice.org (https://lecture-justice.org/annuaire)</w:t>
            </w:r>
          </w:p>
        </w:tc>
      </w:tr>
    </w:tbl>
    <w:p>
      <w:pPr>
        <w:spacing w:before="280" w:after="120"/>
      </w:pPr>
      <w:r>
        <w:rPr>
          <w:b/>
          <w:color w:val="9A6420"/>
          <w:sz w:val="28"/>
        </w:rPr>
        <w:t xml:space="preserve">4  </w:t>
      </w:r>
      <w:r>
        <w:rPr>
          <w:rFonts w:ascii="Georgia" w:hAnsi="Georgia"/>
          <w:b/>
          <w:color w:val="14304F"/>
          <w:sz w:val="28"/>
        </w:rPr>
        <w:t>Les relais régionaux et les associations</w:t>
      </w:r>
    </w:p>
    <w:p>
      <w:pPr>
        <w:spacing w:after="80"/>
      </w:pPr>
      <w:r>
        <w:rPr>
          <w:b/>
          <w:i w:val="0"/>
          <w:color w:val="14304F"/>
          <w:sz w:val="23"/>
        </w:rPr>
        <w:t>Missions et relais régionaux</w:t>
      </w:r>
    </w:p>
    <w:tbl>
      <w:tblPr>
        <w:tblStyle w:val="TableGrid"/>
        <w:tblW w:type="auto" w:w="0"/>
        <w:tblLook w:firstColumn="1" w:firstRow="1" w:lastColumn="0" w:lastRow="0" w:noHBand="0" w:noVBand="1" w:val="04A0"/>
      </w:tblPr>
      <w:tblGrid>
        <w:gridCol w:w="2466"/>
        <w:gridCol w:w="2466"/>
        <w:gridCol w:w="2466"/>
        <w:gridCol w:w="2466"/>
      </w:tblGrid>
      <w:tr>
        <w:tc>
          <w:tcPr>
            <w:tcW w:type="dxa" w:w="2466"/>
            <w:shd w:val="clear" w:color="auto" w:fill="e4eaf3"/>
          </w:tcPr>
          <w:p>
            <w:r>
              <w:rPr>
                <w:b/>
                <w:i w:val="0"/>
                <w:color w:val="14304F"/>
                <w:sz w:val="19"/>
              </w:rPr>
              <w:t>Structure ou ressource</w:t>
            </w:r>
          </w:p>
        </w:tc>
        <w:tc>
          <w:tcPr>
            <w:tcW w:type="dxa" w:w="2466"/>
            <w:shd w:val="clear" w:color="auto" w:fill="e4eaf3"/>
          </w:tcPr>
          <w:p>
            <w:r>
              <w:rPr>
                <w:b/>
                <w:i w:val="0"/>
                <w:color w:val="14304F"/>
                <w:sz w:val="19"/>
              </w:rPr>
              <w:t>Échelle, lieu</w:t>
            </w:r>
          </w:p>
        </w:tc>
        <w:tc>
          <w:tcPr>
            <w:tcW w:type="dxa" w:w="2466"/>
            <w:shd w:val="clear" w:color="auto" w:fill="e4eaf3"/>
          </w:tcPr>
          <w:p>
            <w:r>
              <w:rPr>
                <w:b/>
                <w:i w:val="0"/>
                <w:color w:val="14304F"/>
                <w:sz w:val="19"/>
              </w:rPr>
              <w:t>Ce qu'on y trouve</w:t>
            </w:r>
          </w:p>
        </w:tc>
        <w:tc>
          <w:tcPr>
            <w:tcW w:type="dxa" w:w="2466"/>
            <w:shd w:val="clear" w:color="auto" w:fill="e4eaf3"/>
          </w:tcPr>
          <w:p>
            <w:r>
              <w:rPr>
                <w:b/>
                <w:i w:val="0"/>
                <w:color w:val="14304F"/>
                <w:sz w:val="19"/>
              </w:rPr>
              <w:t>Lien</w:t>
            </w:r>
          </w:p>
        </w:tc>
      </w:tr>
      <w:tr>
        <w:tc>
          <w:tcPr>
            <w:tcW w:type="dxa" w:w="2466"/>
            <w:shd w:val="clear" w:color="auto" w:fill="f3f4f7"/>
          </w:tcPr>
          <w:p>
            <w:r>
              <w:rPr>
                <w:b/>
                <w:i w:val="0"/>
                <w:sz w:val="19"/>
              </w:rPr>
              <w:t>Normandie Livre &amp; Lecture</w:t>
            </w:r>
            <w:r>
              <w:rPr>
                <w:b/>
                <w:i w:val="0"/>
                <w:sz w:val="19"/>
              </w:rPr>
              <w:t xml:space="preserve"> · Dispositif Culture-Justice</w:t>
            </w:r>
          </w:p>
        </w:tc>
        <w:tc>
          <w:tcPr>
            <w:tcW w:type="dxa" w:w="2466"/>
          </w:tcPr>
          <w:p>
            <w:r>
              <w:rPr>
                <w:b w:val="0"/>
                <w:i w:val="0"/>
                <w:sz w:val="19"/>
              </w:rPr>
              <w:t>Normandie</w:t>
            </w:r>
          </w:p>
        </w:tc>
        <w:tc>
          <w:tcPr>
            <w:tcW w:type="dxa" w:w="2466"/>
          </w:tcPr>
          <w:p>
            <w:r>
              <w:rPr>
                <w:b w:val="0"/>
                <w:i w:val="0"/>
                <w:sz w:val="19"/>
              </w:rPr>
              <w:t>Coordination régionale du programme : comment construire un projet, fonctionnement pour 2027, projets soutenus (75 retenus pour 2026)</w:t>
            </w:r>
          </w:p>
        </w:tc>
        <w:tc>
          <w:tcPr>
            <w:tcW w:type="dxa" w:w="2466"/>
          </w:tcPr>
          <w:p>
            <w:r>
              <w:rPr>
                <w:b w:val="0"/>
                <w:i w:val="0"/>
                <w:sz w:val="19"/>
              </w:rPr>
              <w:t>normandielivre.fr (https://culture-justice.normandielivre.fr/infos-pratiques/comment-creer-proposer-un-projet/)</w:t>
            </w:r>
          </w:p>
        </w:tc>
      </w:tr>
      <w:tr>
        <w:tc>
          <w:tcPr>
            <w:tcW w:type="dxa" w:w="2466"/>
            <w:shd w:val="clear" w:color="auto" w:fill="f3f4f7"/>
          </w:tcPr>
          <w:p>
            <w:r>
              <w:rPr>
                <w:b/>
                <w:i w:val="0"/>
                <w:sz w:val="19"/>
              </w:rPr>
              <w:t>Livre et lecture en Bretagne</w:t>
            </w:r>
            <w:r>
              <w:rPr>
                <w:b/>
                <w:i w:val="0"/>
                <w:sz w:val="19"/>
              </w:rPr>
              <w:t xml:space="preserve"> · Culture-Lecture-Justice</w:t>
            </w:r>
          </w:p>
        </w:tc>
        <w:tc>
          <w:tcPr>
            <w:tcW w:type="dxa" w:w="2466"/>
          </w:tcPr>
          <w:p>
            <w:r>
              <w:rPr>
                <w:b w:val="0"/>
                <w:i w:val="0"/>
                <w:sz w:val="19"/>
              </w:rPr>
              <w:t>Bretagne</w:t>
            </w:r>
          </w:p>
        </w:tc>
        <w:tc>
          <w:tcPr>
            <w:tcW w:type="dxa" w:w="2466"/>
          </w:tcPr>
          <w:p>
            <w:r>
              <w:rPr>
                <w:b w:val="0"/>
                <w:i w:val="0"/>
                <w:sz w:val="19"/>
              </w:rPr>
              <w:t>Mission régionale Culture-Justice : cadre, établissements bretons, outils ; rencontres professionnelles à Rennes le 26 novembre 2026</w:t>
            </w:r>
          </w:p>
        </w:tc>
        <w:tc>
          <w:tcPr>
            <w:tcW w:type="dxa" w:w="2466"/>
          </w:tcPr>
          <w:p>
            <w:r>
              <w:rPr>
                <w:b w:val="0"/>
                <w:i w:val="0"/>
                <w:sz w:val="19"/>
              </w:rPr>
              <w:t>livrelecturebretagne.fr (https://www.livrelecturebretagne.fr/agir/culture-lecture-justice)</w:t>
            </w:r>
          </w:p>
        </w:tc>
      </w:tr>
      <w:tr>
        <w:tc>
          <w:tcPr>
            <w:tcW w:type="dxa" w:w="2466"/>
            <w:shd w:val="clear" w:color="auto" w:fill="f3f4f7"/>
          </w:tcPr>
          <w:p>
            <w:r>
              <w:rPr>
                <w:b/>
                <w:i w:val="0"/>
                <w:sz w:val="19"/>
              </w:rPr>
              <w:t>Léo Lagrange Nord-Île-de-France</w:t>
            </w:r>
          </w:p>
        </w:tc>
        <w:tc>
          <w:tcPr>
            <w:tcW w:type="dxa" w:w="2466"/>
          </w:tcPr>
          <w:p>
            <w:r>
              <w:rPr>
                <w:b w:val="0"/>
                <w:i w:val="0"/>
                <w:sz w:val="19"/>
              </w:rPr>
              <w:t>Île-de-France</w:t>
            </w:r>
          </w:p>
        </w:tc>
        <w:tc>
          <w:tcPr>
            <w:tcW w:type="dxa" w:w="2466"/>
          </w:tcPr>
          <w:p>
            <w:r>
              <w:rPr>
                <w:b w:val="0"/>
                <w:i w:val="0"/>
                <w:sz w:val="19"/>
              </w:rPr>
              <w:t>Coordination culturelle des établissements pénitentiaires franciliens, avec les SPIP, depuis 2012</w:t>
            </w:r>
          </w:p>
        </w:tc>
        <w:tc>
          <w:tcPr>
            <w:tcW w:type="dxa" w:w="2466"/>
          </w:tcPr>
          <w:p>
            <w:r>
              <w:rPr>
                <w:b w:val="0"/>
                <w:i w:val="0"/>
                <w:sz w:val="19"/>
              </w:rPr>
              <w:t>leolagrange.org (https://www.leolagrange.org/laction-culturelle-en-milieu-carceral/)</w:t>
            </w:r>
          </w:p>
        </w:tc>
      </w:tr>
      <w:tr>
        <w:tc>
          <w:tcPr>
            <w:tcW w:type="dxa" w:w="2466"/>
            <w:shd w:val="clear" w:color="auto" w:fill="f3f4f7"/>
          </w:tcPr>
          <w:p>
            <w:r>
              <w:rPr>
                <w:b/>
                <w:i w:val="0"/>
                <w:sz w:val="19"/>
              </w:rPr>
              <w:t>Léo Lagrange Sud-Ouest</w:t>
            </w:r>
          </w:p>
        </w:tc>
        <w:tc>
          <w:tcPr>
            <w:tcW w:type="dxa" w:w="2466"/>
          </w:tcPr>
          <w:p>
            <w:r>
              <w:rPr>
                <w:b w:val="0"/>
                <w:i w:val="0"/>
                <w:sz w:val="19"/>
              </w:rPr>
              <w:t>Occitanie (ouest), Toulouse</w:t>
            </w:r>
          </w:p>
        </w:tc>
        <w:tc>
          <w:tcPr>
            <w:tcW w:type="dxa" w:w="2466"/>
          </w:tcPr>
          <w:p>
            <w:r>
              <w:rPr>
                <w:b w:val="0"/>
                <w:i w:val="0"/>
                <w:sz w:val="19"/>
              </w:rPr>
              <w:t>Animation de la mission Culture-Justice ; appui aux équipes de la PJJ pour monter des projets culturels</w:t>
            </w:r>
          </w:p>
        </w:tc>
        <w:tc>
          <w:tcPr>
            <w:tcW w:type="dxa" w:w="2466"/>
          </w:tcPr>
          <w:p>
            <w:r>
              <w:rPr>
                <w:b w:val="0"/>
                <w:i w:val="0"/>
                <w:sz w:val="19"/>
              </w:rPr>
              <w:t>leolagrange.org (https://www.leolagrange.org/laccompagnement-des-equipes-pjj-pour-la-mise-en-place-de-projets-culturels/)</w:t>
            </w:r>
          </w:p>
        </w:tc>
      </w:tr>
      <w:tr>
        <w:tc>
          <w:tcPr>
            <w:tcW w:type="dxa" w:w="2466"/>
            <w:shd w:val="clear" w:color="auto" w:fill="f3f4f7"/>
          </w:tcPr>
          <w:p>
            <w:r>
              <w:rPr>
                <w:b/>
                <w:i w:val="0"/>
                <w:sz w:val="19"/>
              </w:rPr>
              <w:t>CEMÉA Occitanie</w:t>
            </w:r>
            <w:r>
              <w:rPr>
                <w:b/>
                <w:i w:val="0"/>
                <w:sz w:val="19"/>
              </w:rPr>
              <w:t xml:space="preserve"> · Mission Culture-Justice</w:t>
            </w:r>
          </w:p>
        </w:tc>
        <w:tc>
          <w:tcPr>
            <w:tcW w:type="dxa" w:w="2466"/>
          </w:tcPr>
          <w:p>
            <w:r>
              <w:rPr>
                <w:b w:val="0"/>
                <w:i w:val="0"/>
                <w:sz w:val="19"/>
              </w:rPr>
              <w:t>Occitanie (est) : Aude, Gard, Hérault, Lozère, Pyrénées-Orientales</w:t>
            </w:r>
          </w:p>
        </w:tc>
        <w:tc>
          <w:tcPr>
            <w:tcW w:type="dxa" w:w="2466"/>
          </w:tcPr>
          <w:p>
            <w:r>
              <w:rPr>
                <w:b w:val="0"/>
                <w:i w:val="0"/>
                <w:sz w:val="19"/>
              </w:rPr>
              <w:t>Intermédiation entre les partenaires de la culture et de la justice, appui aux projets en établissement et avec la PJJ</w:t>
            </w:r>
          </w:p>
        </w:tc>
        <w:tc>
          <w:tcPr>
            <w:tcW w:type="dxa" w:w="2466"/>
          </w:tcPr>
          <w:p>
            <w:r>
              <w:rPr>
                <w:b w:val="0"/>
                <w:i w:val="0"/>
                <w:sz w:val="19"/>
              </w:rPr>
              <w:t>cemea-occitanie.org (https://www.cemea-occitanie.org/culture/mission-culture-justice)</w:t>
            </w:r>
          </w:p>
        </w:tc>
      </w:tr>
      <w:tr>
        <w:tc>
          <w:tcPr>
            <w:tcW w:type="dxa" w:w="2466"/>
            <w:shd w:val="clear" w:color="auto" w:fill="f3f4f7"/>
          </w:tcPr>
          <w:p>
            <w:r>
              <w:rPr>
                <w:b/>
                <w:i w:val="0"/>
                <w:sz w:val="19"/>
              </w:rPr>
              <w:t>Hors Cadre</w:t>
            </w:r>
            <w:r>
              <w:rPr>
                <w:b/>
                <w:i w:val="0"/>
                <w:sz w:val="19"/>
              </w:rPr>
              <w:t xml:space="preserve"> · Pôle culture / justice</w:t>
            </w:r>
          </w:p>
        </w:tc>
        <w:tc>
          <w:tcPr>
            <w:tcW w:type="dxa" w:w="2466"/>
          </w:tcPr>
          <w:p>
            <w:r>
              <w:rPr>
                <w:b w:val="0"/>
                <w:i w:val="0"/>
                <w:sz w:val="19"/>
              </w:rPr>
              <w:t>Hauts-de-France, Lille</w:t>
            </w:r>
          </w:p>
        </w:tc>
        <w:tc>
          <w:tcPr>
            <w:tcW w:type="dxa" w:w="2466"/>
          </w:tcPr>
          <w:p>
            <w:r>
              <w:rPr>
                <w:b w:val="0"/>
                <w:i w:val="0"/>
                <w:sz w:val="19"/>
              </w:rPr>
              <w:t>Projets autour de l'image en détention et avec la PJJ ; outils et ressources</w:t>
            </w:r>
          </w:p>
        </w:tc>
        <w:tc>
          <w:tcPr>
            <w:tcW w:type="dxa" w:w="2466"/>
          </w:tcPr>
          <w:p>
            <w:r>
              <w:rPr>
                <w:b w:val="0"/>
                <w:i w:val="0"/>
                <w:sz w:val="19"/>
              </w:rPr>
              <w:t>horscadre.eu (https://www.horscadre.eu/pole-culture-justice/presentation)</w:t>
            </w:r>
          </w:p>
        </w:tc>
      </w:tr>
      <w:tr>
        <w:tc>
          <w:tcPr>
            <w:tcW w:type="dxa" w:w="2466"/>
            <w:shd w:val="clear" w:color="auto" w:fill="f3f4f7"/>
          </w:tcPr>
          <w:p>
            <w:r>
              <w:rPr>
                <w:b/>
                <w:i w:val="0"/>
                <w:sz w:val="19"/>
              </w:rPr>
              <w:t>Ligue de l'enseignement des Pays de la Loire</w:t>
            </w:r>
          </w:p>
        </w:tc>
        <w:tc>
          <w:tcPr>
            <w:tcW w:type="dxa" w:w="2466"/>
          </w:tcPr>
          <w:p>
            <w:r>
              <w:rPr>
                <w:b w:val="0"/>
                <w:i w:val="0"/>
                <w:sz w:val="19"/>
              </w:rPr>
              <w:t>Pays de la Loire</w:t>
            </w:r>
          </w:p>
        </w:tc>
        <w:tc>
          <w:tcPr>
            <w:tcW w:type="dxa" w:w="2466"/>
          </w:tcPr>
          <w:p>
            <w:r>
              <w:rPr>
                <w:b w:val="0"/>
                <w:i w:val="0"/>
                <w:sz w:val="19"/>
              </w:rPr>
              <w:t>Service culture : ateliers et parcours avec des personnes détenues et des jeunes suivis par la PJJ ; présentation 2025-2026</w:t>
            </w:r>
          </w:p>
        </w:tc>
        <w:tc>
          <w:tcPr>
            <w:tcW w:type="dxa" w:w="2466"/>
          </w:tcPr>
          <w:p>
            <w:r>
              <w:rPr>
                <w:b w:val="0"/>
                <w:i w:val="0"/>
                <w:sz w:val="19"/>
              </w:rPr>
              <w:t>laliguepaysdelaloire.org (https://laliguepaysdelaloire.org/images/2025/Flyer_presentation_service_Ligue_enseignement_Pays_de_La_Loire-2025-2026.pdf) (PDF)</w:t>
            </w:r>
          </w:p>
        </w:tc>
      </w:tr>
      <w:tr>
        <w:tc>
          <w:tcPr>
            <w:tcW w:type="dxa" w:w="2466"/>
            <w:shd w:val="clear" w:color="auto" w:fill="f3f4f7"/>
          </w:tcPr>
          <w:p>
            <w:r>
              <w:rPr>
                <w:b/>
                <w:i w:val="0"/>
                <w:sz w:val="19"/>
              </w:rPr>
              <w:t>Agence régionale du Livre Provence-Alpes-Côte d'Azur</w:t>
            </w:r>
            <w:r>
              <w:rPr>
                <w:b/>
                <w:i w:val="0"/>
                <w:sz w:val="19"/>
              </w:rPr>
              <w:t xml:space="preserve"> · Culture/Justice</w:t>
            </w:r>
          </w:p>
        </w:tc>
        <w:tc>
          <w:tcPr>
            <w:tcW w:type="dxa" w:w="2466"/>
          </w:tcPr>
          <w:p>
            <w:r>
              <w:rPr>
                <w:b w:val="0"/>
                <w:i w:val="0"/>
                <w:sz w:val="19"/>
              </w:rPr>
              <w:t>Provence-Alpes-Côte d'Azur</w:t>
            </w:r>
          </w:p>
        </w:tc>
        <w:tc>
          <w:tcPr>
            <w:tcW w:type="dxa" w:w="2466"/>
          </w:tcPr>
          <w:p>
            <w:r>
              <w:rPr>
                <w:b w:val="0"/>
                <w:i w:val="0"/>
                <w:sz w:val="19"/>
              </w:rPr>
              <w:t>Cycles d'ateliers en détention (Parenthèse, depuis 2015), espaces de lecture dans les foyers de la PJJ (Passage), bibliothèques pénitentiaires</w:t>
            </w:r>
          </w:p>
        </w:tc>
        <w:tc>
          <w:tcPr>
            <w:tcW w:type="dxa" w:w="2466"/>
          </w:tcPr>
          <w:p>
            <w:r>
              <w:rPr>
                <w:b w:val="0"/>
                <w:i w:val="0"/>
                <w:sz w:val="19"/>
              </w:rPr>
              <w:t>livre-provencealpescotedazur.fr (https://www.livre-provencealpescotedazur.fr/nos-actions/categories:culture-justice)</w:t>
            </w:r>
          </w:p>
        </w:tc>
      </w:tr>
    </w:tbl>
    <w:p>
      <w:pPr>
        <w:spacing w:after="80"/>
      </w:pPr>
      <w:r>
        <w:rPr>
          <w:b w:val="0"/>
          <w:i/>
          <w:color w:val="555555"/>
          <w:sz w:val="17"/>
        </w:rPr>
        <w:t>Toutes les régions n'ont pas de mission régionale. Ailleurs, adressez-vous au SPIP ou à la DRAC ; l'annuaire Lecture-Justice donne la liste à jour.</w:t>
      </w:r>
    </w:p>
    <w:p>
      <w:pPr>
        <w:spacing w:after="80"/>
      </w:pPr>
      <w:r>
        <w:rPr>
          <w:b/>
          <w:i w:val="0"/>
          <w:color w:val="14304F"/>
          <w:sz w:val="23"/>
        </w:rPr>
        <w:t>Des associations qui interviennent en détention</w:t>
      </w:r>
    </w:p>
    <w:tbl>
      <w:tblPr>
        <w:tblStyle w:val="TableGrid"/>
        <w:tblW w:type="auto" w:w="0"/>
        <w:tblLook w:firstColumn="1" w:firstRow="1" w:lastColumn="0" w:lastRow="0" w:noHBand="0" w:noVBand="1" w:val="04A0"/>
      </w:tblPr>
      <w:tblGrid>
        <w:gridCol w:w="2466"/>
        <w:gridCol w:w="2466"/>
        <w:gridCol w:w="2466"/>
        <w:gridCol w:w="2466"/>
      </w:tblGrid>
      <w:tr>
        <w:tc>
          <w:tcPr>
            <w:tcW w:type="dxa" w:w="2466"/>
            <w:shd w:val="clear" w:color="auto" w:fill="e4eaf3"/>
          </w:tcPr>
          <w:p>
            <w:r>
              <w:rPr>
                <w:b/>
                <w:i w:val="0"/>
                <w:color w:val="14304F"/>
                <w:sz w:val="19"/>
              </w:rPr>
              <w:t>Structure ou ressource</w:t>
            </w:r>
          </w:p>
        </w:tc>
        <w:tc>
          <w:tcPr>
            <w:tcW w:type="dxa" w:w="2466"/>
            <w:shd w:val="clear" w:color="auto" w:fill="e4eaf3"/>
          </w:tcPr>
          <w:p>
            <w:r>
              <w:rPr>
                <w:b/>
                <w:i w:val="0"/>
                <w:color w:val="14304F"/>
                <w:sz w:val="19"/>
              </w:rPr>
              <w:t>Échelle, lieu</w:t>
            </w:r>
          </w:p>
        </w:tc>
        <w:tc>
          <w:tcPr>
            <w:tcW w:type="dxa" w:w="2466"/>
            <w:shd w:val="clear" w:color="auto" w:fill="e4eaf3"/>
          </w:tcPr>
          <w:p>
            <w:r>
              <w:rPr>
                <w:b/>
                <w:i w:val="0"/>
                <w:color w:val="14304F"/>
                <w:sz w:val="19"/>
              </w:rPr>
              <w:t>Ce qu'on y trouve</w:t>
            </w:r>
          </w:p>
        </w:tc>
        <w:tc>
          <w:tcPr>
            <w:tcW w:type="dxa" w:w="2466"/>
            <w:shd w:val="clear" w:color="auto" w:fill="e4eaf3"/>
          </w:tcPr>
          <w:p>
            <w:r>
              <w:rPr>
                <w:b/>
                <w:i w:val="0"/>
                <w:color w:val="14304F"/>
                <w:sz w:val="19"/>
              </w:rPr>
              <w:t>Lien</w:t>
            </w:r>
          </w:p>
        </w:tc>
      </w:tr>
      <w:tr>
        <w:tc>
          <w:tcPr>
            <w:tcW w:type="dxa" w:w="2466"/>
            <w:shd w:val="clear" w:color="auto" w:fill="f3f4f7"/>
          </w:tcPr>
          <w:p>
            <w:r>
              <w:rPr>
                <w:b/>
                <w:i w:val="0"/>
                <w:sz w:val="19"/>
              </w:rPr>
              <w:t>Lieux Fictifs</w:t>
            </w:r>
          </w:p>
        </w:tc>
        <w:tc>
          <w:tcPr>
            <w:tcW w:type="dxa" w:w="2466"/>
          </w:tcPr>
          <w:p>
            <w:r>
              <w:rPr>
                <w:b w:val="0"/>
                <w:i w:val="0"/>
                <w:sz w:val="19"/>
              </w:rPr>
              <w:t>Marseille</w:t>
            </w:r>
          </w:p>
        </w:tc>
        <w:tc>
          <w:tcPr>
            <w:tcW w:type="dxa" w:w="2466"/>
          </w:tcPr>
          <w:p>
            <w:r>
              <w:rPr>
                <w:b w:val="0"/>
                <w:i w:val="0"/>
                <w:sz w:val="19"/>
              </w:rPr>
              <w:t>Lieux de création dédiés à l'image en mouvement, en détention aux Baumettes ; résidences de cinéastes et projections (2025-2026)</w:t>
            </w:r>
          </w:p>
        </w:tc>
        <w:tc>
          <w:tcPr>
            <w:tcW w:type="dxa" w:w="2466"/>
          </w:tcPr>
          <w:p>
            <w:r>
              <w:rPr>
                <w:b w:val="0"/>
                <w:i w:val="0"/>
                <w:sz w:val="19"/>
              </w:rPr>
              <w:t>lieuxfictifs.org (https://www.lieuxfictifs.org/)</w:t>
            </w:r>
          </w:p>
        </w:tc>
      </w:tr>
      <w:tr>
        <w:tc>
          <w:tcPr>
            <w:tcW w:type="dxa" w:w="2466"/>
            <w:shd w:val="clear" w:color="auto" w:fill="f3f4f7"/>
          </w:tcPr>
          <w:p>
            <w:r>
              <w:rPr>
                <w:b/>
                <w:i w:val="0"/>
                <w:sz w:val="19"/>
              </w:rPr>
              <w:t>Art et Prison France</w:t>
            </w:r>
          </w:p>
        </w:tc>
        <w:tc>
          <w:tcPr>
            <w:tcW w:type="dxa" w:w="2466"/>
          </w:tcPr>
          <w:p>
            <w:r>
              <w:rPr>
                <w:b w:val="0"/>
                <w:i w:val="0"/>
                <w:sz w:val="19"/>
              </w:rPr>
              <w:t>France, expositions itinérantes</w:t>
            </w:r>
          </w:p>
        </w:tc>
        <w:tc>
          <w:tcPr>
            <w:tcW w:type="dxa" w:w="2466"/>
          </w:tcPr>
          <w:p>
            <w:r>
              <w:rPr>
                <w:b w:val="0"/>
                <w:i w:val="0"/>
                <w:sz w:val="19"/>
              </w:rPr>
              <w:t>Expositions d'œuvres créées en détention, issues d'un concours international ; dernière série à Osny (décembre 2025 - janvier 2026)</w:t>
            </w:r>
          </w:p>
        </w:tc>
        <w:tc>
          <w:tcPr>
            <w:tcW w:type="dxa" w:w="2466"/>
          </w:tcPr>
          <w:p>
            <w:r>
              <w:rPr>
                <w:b w:val="0"/>
                <w:i w:val="0"/>
                <w:sz w:val="19"/>
              </w:rPr>
              <w:t>art-et-prison.fr (https://art-et-prison.fr/)</w:t>
            </w:r>
          </w:p>
        </w:tc>
      </w:tr>
      <w:tr>
        <w:tc>
          <w:tcPr>
            <w:tcW w:type="dxa" w:w="2466"/>
            <w:shd w:val="clear" w:color="auto" w:fill="f3f4f7"/>
          </w:tcPr>
          <w:p>
            <w:r>
              <w:rPr>
                <w:b/>
                <w:i w:val="0"/>
                <w:sz w:val="19"/>
              </w:rPr>
              <w:t>Wake up Café</w:t>
            </w:r>
          </w:p>
        </w:tc>
        <w:tc>
          <w:tcPr>
            <w:tcW w:type="dxa" w:w="2466"/>
          </w:tcPr>
          <w:p>
            <w:r>
              <w:rPr>
                <w:b w:val="0"/>
                <w:i w:val="0"/>
                <w:sz w:val="19"/>
              </w:rPr>
              <w:t>Paris, Lyon</w:t>
            </w:r>
          </w:p>
        </w:tc>
        <w:tc>
          <w:tcPr>
            <w:tcW w:type="dxa" w:w="2466"/>
          </w:tcPr>
          <w:p>
            <w:r>
              <w:rPr>
                <w:b w:val="0"/>
                <w:i w:val="0"/>
                <w:sz w:val="19"/>
              </w:rPr>
              <w:t>Association de réinsertion qui propose aux établissements, avec les coordinateurs culturels, des ateliers artistiques animés par des professionnels</w:t>
            </w:r>
          </w:p>
        </w:tc>
        <w:tc>
          <w:tcPr>
            <w:tcW w:type="dxa" w:w="2466"/>
          </w:tcPr>
          <w:p>
            <w:r>
              <w:rPr>
                <w:b w:val="0"/>
                <w:i w:val="0"/>
                <w:sz w:val="19"/>
              </w:rPr>
              <w:t>wakeupcafe.org (https://www.wakeupcafe.org/)</w:t>
            </w:r>
          </w:p>
        </w:tc>
      </w:tr>
    </w:tbl>
    <w:p>
      <w:pPr>
        <w:spacing w:before="280" w:after="120"/>
      </w:pPr>
      <w:r>
        <w:rPr>
          <w:b/>
          <w:color w:val="9A6420"/>
          <w:sz w:val="28"/>
        </w:rPr>
        <w:t xml:space="preserve">5  </w:t>
      </w:r>
      <w:r>
        <w:rPr>
          <w:rFonts w:ascii="Georgia" w:hAnsi="Georgia"/>
          <w:b/>
          <w:color w:val="14304F"/>
          <w:sz w:val="28"/>
        </w:rPr>
        <w:t>Appels à projets et soutiens récurrents</w:t>
      </w:r>
    </w:p>
    <w:tbl>
      <w:tblPr>
        <w:tblStyle w:val="TableGrid"/>
        <w:tblW w:type="auto" w:w="0"/>
        <w:tblLook w:firstColumn="1" w:firstRow="1" w:lastColumn="0" w:lastRow="0" w:noHBand="0" w:noVBand="1" w:val="04A0"/>
      </w:tblPr>
      <w:tblGrid>
        <w:gridCol w:w="2466"/>
        <w:gridCol w:w="2466"/>
        <w:gridCol w:w="2466"/>
        <w:gridCol w:w="2466"/>
      </w:tblGrid>
      <w:tr>
        <w:tc>
          <w:tcPr>
            <w:tcW w:type="dxa" w:w="2466"/>
            <w:shd w:val="clear" w:color="auto" w:fill="e4eaf3"/>
          </w:tcPr>
          <w:p>
            <w:r>
              <w:rPr>
                <w:b/>
                <w:i w:val="0"/>
                <w:color w:val="14304F"/>
                <w:sz w:val="19"/>
              </w:rPr>
              <w:t>Structure ou ressource</w:t>
            </w:r>
          </w:p>
        </w:tc>
        <w:tc>
          <w:tcPr>
            <w:tcW w:type="dxa" w:w="2466"/>
            <w:shd w:val="clear" w:color="auto" w:fill="e4eaf3"/>
          </w:tcPr>
          <w:p>
            <w:r>
              <w:rPr>
                <w:b/>
                <w:i w:val="0"/>
                <w:color w:val="14304F"/>
                <w:sz w:val="19"/>
              </w:rPr>
              <w:t>Échelle, lieu</w:t>
            </w:r>
          </w:p>
        </w:tc>
        <w:tc>
          <w:tcPr>
            <w:tcW w:type="dxa" w:w="2466"/>
            <w:shd w:val="clear" w:color="auto" w:fill="e4eaf3"/>
          </w:tcPr>
          <w:p>
            <w:r>
              <w:rPr>
                <w:b/>
                <w:i w:val="0"/>
                <w:color w:val="14304F"/>
                <w:sz w:val="19"/>
              </w:rPr>
              <w:t>Ce qu'on y trouve</w:t>
            </w:r>
          </w:p>
        </w:tc>
        <w:tc>
          <w:tcPr>
            <w:tcW w:type="dxa" w:w="2466"/>
            <w:shd w:val="clear" w:color="auto" w:fill="e4eaf3"/>
          </w:tcPr>
          <w:p>
            <w:r>
              <w:rPr>
                <w:b/>
                <w:i w:val="0"/>
                <w:color w:val="14304F"/>
                <w:sz w:val="19"/>
              </w:rPr>
              <w:t>Lien</w:t>
            </w:r>
          </w:p>
        </w:tc>
      </w:tr>
      <w:tr>
        <w:tc>
          <w:tcPr>
            <w:tcW w:type="dxa" w:w="2466"/>
            <w:shd w:val="clear" w:color="auto" w:fill="f3f4f7"/>
          </w:tcPr>
          <w:p>
            <w:r>
              <w:rPr>
                <w:b/>
                <w:i w:val="0"/>
                <w:sz w:val="19"/>
              </w:rPr>
              <w:t>Culture et Justice</w:t>
            </w:r>
            <w:r>
              <w:rPr>
                <w:b/>
                <w:i w:val="0"/>
                <w:sz w:val="19"/>
              </w:rPr>
              <w:t xml:space="preserve"> · appels régionaux</w:t>
            </w:r>
          </w:p>
        </w:tc>
        <w:tc>
          <w:tcPr>
            <w:tcW w:type="dxa" w:w="2466"/>
          </w:tcPr>
          <w:p>
            <w:r>
              <w:rPr>
                <w:b w:val="0"/>
                <w:i w:val="0"/>
                <w:sz w:val="19"/>
              </w:rPr>
              <w:t>Par région, chaque année</w:t>
            </w:r>
          </w:p>
        </w:tc>
        <w:tc>
          <w:tcPr>
            <w:tcW w:type="dxa" w:w="2466"/>
          </w:tcPr>
          <w:p>
            <w:r>
              <w:rPr>
                <w:b w:val="0"/>
                <w:i w:val="0"/>
                <w:sz w:val="19"/>
              </w:rPr>
              <w:t>Conditions, critères, calendriers, formulaires et contacts de chaque région ; un dépôt toujours co-construit avec un établissement ou un service</w:t>
            </w:r>
          </w:p>
        </w:tc>
        <w:tc>
          <w:tcPr>
            <w:tcW w:type="dxa" w:w="2466"/>
          </w:tcPr>
          <w:p>
            <w:r>
              <w:rPr>
                <w:b w:val="0"/>
                <w:i w:val="0"/>
                <w:sz w:val="19"/>
              </w:rPr>
              <w:t>culture.gouv.fr (https://www.culture.gouv.fr/catalogue-des-demarches-et-subventions/appels-a-projets-candidatures/culture-et-justice)</w:t>
            </w:r>
          </w:p>
        </w:tc>
      </w:tr>
      <w:tr>
        <w:tc>
          <w:tcPr>
            <w:tcW w:type="dxa" w:w="2466"/>
            <w:shd w:val="clear" w:color="auto" w:fill="f3f4f7"/>
          </w:tcPr>
          <w:p>
            <w:r>
              <w:rPr>
                <w:b/>
                <w:i w:val="0"/>
                <w:sz w:val="19"/>
              </w:rPr>
              <w:t>Culture et Justice Occitanie</w:t>
            </w:r>
            <w:r>
              <w:rPr>
                <w:b/>
                <w:i w:val="0"/>
                <w:sz w:val="19"/>
              </w:rPr>
              <w:t>, projets 2027</w:t>
            </w:r>
          </w:p>
        </w:tc>
        <w:tc>
          <w:tcPr>
            <w:tcW w:type="dxa" w:w="2466"/>
          </w:tcPr>
          <w:p>
            <w:r>
              <w:rPr>
                <w:b w:val="0"/>
                <w:i w:val="0"/>
                <w:sz w:val="19"/>
              </w:rPr>
              <w:t>Occitanie</w:t>
            </w:r>
          </w:p>
        </w:tc>
        <w:tc>
          <w:tcPr>
            <w:tcW w:type="dxa" w:w="2466"/>
          </w:tcPr>
          <w:p>
            <w:r>
              <w:rPr>
                <w:b w:val="0"/>
                <w:i w:val="0"/>
                <w:sz w:val="19"/>
              </w:rPr>
              <w:t>Cahier des charges : dépôt du 1er septembre au 31 octobre 2026, commission en février 2027, taux horaire indicatif de 60 €</w:t>
            </w:r>
          </w:p>
        </w:tc>
        <w:tc>
          <w:tcPr>
            <w:tcW w:type="dxa" w:w="2466"/>
          </w:tcPr>
          <w:p>
            <w:r>
              <w:rPr>
                <w:b w:val="0"/>
                <w:i w:val="0"/>
                <w:sz w:val="19"/>
              </w:rPr>
              <w:t>culture.gouv.fr (https://www.culture.gouv.fr/mc/content/download/393765/file/Culture_Justice_Occitanie_cahier_des_charges_AAP_.pdf?inLanguage=fre-FR&amp;version=1) (PDF)</w:t>
            </w:r>
          </w:p>
        </w:tc>
      </w:tr>
      <w:tr>
        <w:tc>
          <w:tcPr>
            <w:tcW w:type="dxa" w:w="2466"/>
            <w:shd w:val="clear" w:color="auto" w:fill="f3f4f7"/>
          </w:tcPr>
          <w:p>
            <w:r>
              <w:rPr>
                <w:b/>
                <w:i w:val="0"/>
                <w:sz w:val="19"/>
              </w:rPr>
              <w:t>Culture et Justice Nouvelle-Aquitaine</w:t>
            </w:r>
            <w:r>
              <w:rPr>
                <w:b/>
                <w:i w:val="0"/>
                <w:sz w:val="19"/>
              </w:rPr>
              <w:t>, projets 2027</w:t>
            </w:r>
          </w:p>
        </w:tc>
        <w:tc>
          <w:tcPr>
            <w:tcW w:type="dxa" w:w="2466"/>
          </w:tcPr>
          <w:p>
            <w:r>
              <w:rPr>
                <w:b w:val="0"/>
                <w:i w:val="0"/>
                <w:sz w:val="19"/>
              </w:rPr>
              <w:t>Nouvelle-Aquitaine</w:t>
            </w:r>
          </w:p>
        </w:tc>
        <w:tc>
          <w:tcPr>
            <w:tcW w:type="dxa" w:w="2466"/>
          </w:tcPr>
          <w:p>
            <w:r>
              <w:rPr>
                <w:b w:val="0"/>
                <w:i w:val="0"/>
                <w:sz w:val="19"/>
              </w:rPr>
              <w:t>Cahier des charges : dépôt du 5 août au 13 novembre 2026, commission le 16 décembre 2026, fiche action cosignée avec le service de la justice</w:t>
            </w:r>
          </w:p>
        </w:tc>
        <w:tc>
          <w:tcPr>
            <w:tcW w:type="dxa" w:w="2466"/>
          </w:tcPr>
          <w:p>
            <w:r>
              <w:rPr>
                <w:b w:val="0"/>
                <w:i w:val="0"/>
                <w:sz w:val="19"/>
              </w:rPr>
              <w:t>culture.gouv.fr (https://www.culture.gouv.fr/mc/content/download/393236/file/Cahier%20des%20%20charges%20-%20AAP%20NA%20-%20DISP%20x%20DRAC%20x%20DIRPJJ%20VDEF.pdf?inLanguage=fre-FR&amp;version=1) (PDF)</w:t>
            </w:r>
          </w:p>
        </w:tc>
      </w:tr>
      <w:tr>
        <w:tc>
          <w:tcPr>
            <w:tcW w:type="dxa" w:w="2466"/>
            <w:shd w:val="clear" w:color="auto" w:fill="f3f4f7"/>
          </w:tcPr>
          <w:p>
            <w:r>
              <w:rPr>
                <w:b/>
                <w:i w:val="0"/>
                <w:sz w:val="19"/>
              </w:rPr>
              <w:t>Act'ice</w:t>
            </w:r>
            <w:r>
              <w:rPr>
                <w:b/>
                <w:i w:val="0"/>
                <w:sz w:val="19"/>
              </w:rPr>
              <w:t xml:space="preserve"> · Possible et Ronalpia</w:t>
            </w:r>
          </w:p>
        </w:tc>
        <w:tc>
          <w:tcPr>
            <w:tcW w:type="dxa" w:w="2466"/>
          </w:tcPr>
          <w:p>
            <w:r>
              <w:rPr>
                <w:b w:val="0"/>
                <w:i w:val="0"/>
                <w:sz w:val="19"/>
              </w:rPr>
              <w:t>National</w:t>
            </w:r>
          </w:p>
        </w:tc>
        <w:tc>
          <w:tcPr>
            <w:tcW w:type="dxa" w:w="2466"/>
          </w:tcPr>
          <w:p>
            <w:r>
              <w:rPr>
                <w:b w:val="0"/>
                <w:i w:val="0"/>
                <w:sz w:val="19"/>
              </w:rPr>
              <w:t>Programme annuel pour les structures de l'économie sociale et solidaire qui portent un projet avec des personnes placées sous main de justice : candidatures en septembre, début en janvier</w:t>
            </w:r>
          </w:p>
        </w:tc>
        <w:tc>
          <w:tcPr>
            <w:tcW w:type="dxa" w:w="2466"/>
          </w:tcPr>
          <w:p>
            <w:r>
              <w:rPr>
                <w:b w:val="0"/>
                <w:i w:val="0"/>
                <w:sz w:val="19"/>
              </w:rPr>
              <w:t>association-possible.fr (https://association-possible.fr/actice/)</w:t>
            </w:r>
          </w:p>
        </w:tc>
      </w:tr>
      <w:tr>
        <w:tc>
          <w:tcPr>
            <w:tcW w:type="dxa" w:w="2466"/>
            <w:shd w:val="clear" w:color="auto" w:fill="f3f4f7"/>
          </w:tcPr>
          <w:p>
            <w:r>
              <w:rPr>
                <w:b/>
                <w:i w:val="0"/>
                <w:sz w:val="19"/>
              </w:rPr>
              <w:t>Fondation Meyer</w:t>
            </w:r>
            <w:r>
              <w:rPr>
                <w:b/>
                <w:i w:val="0"/>
                <w:sz w:val="19"/>
              </w:rPr>
              <w:t xml:space="preserve"> · Création en milieu carcéral</w:t>
            </w:r>
          </w:p>
        </w:tc>
        <w:tc>
          <w:tcPr>
            <w:tcW w:type="dxa" w:w="2466"/>
          </w:tcPr>
          <w:p>
            <w:r>
              <w:rPr>
                <w:b w:val="0"/>
                <w:i w:val="0"/>
                <w:sz w:val="19"/>
              </w:rPr>
              <w:t>National ; projets 2025 en Île-de-France</w:t>
            </w:r>
          </w:p>
        </w:tc>
        <w:tc>
          <w:tcPr>
            <w:tcW w:type="dxa" w:w="2466"/>
          </w:tcPr>
          <w:p>
            <w:r>
              <w:rPr>
                <w:b w:val="0"/>
                <w:i w:val="0"/>
                <w:sz w:val="19"/>
              </w:rPr>
              <w:t>Soutien, depuis 2017, de projets de création menés en détention avec des artistes professionnels</w:t>
            </w:r>
          </w:p>
        </w:tc>
        <w:tc>
          <w:tcPr>
            <w:tcW w:type="dxa" w:w="2466"/>
          </w:tcPr>
          <w:p>
            <w:r>
              <w:rPr>
                <w:b w:val="0"/>
                <w:i w:val="0"/>
                <w:sz w:val="19"/>
              </w:rPr>
              <w:t>fondationmeyer.org (https://www.fondationmeyer.org/actions/projets-en-milieu-carceral/)</w:t>
            </w:r>
          </w:p>
        </w:tc>
      </w:tr>
    </w:tbl>
    <w:p>
      <w:pPr>
        <w:spacing w:after="80"/>
      </w:pPr>
      <w:r>
        <w:rPr>
          <w:b w:val="0"/>
          <w:i/>
          <w:color w:val="555555"/>
          <w:sz w:val="17"/>
        </w:rPr>
        <w:t>Les appels du Fonds interministériel de prévention de la délinquance (FIPD) sont publiés par chaque préfecture, sur des thèmes fixés chaque année ; ils s'adressent à des structures.</w:t>
      </w:r>
    </w:p>
    <w:p>
      <w:pPr>
        <w:spacing w:before="280" w:after="120"/>
      </w:pPr>
      <w:r>
        <w:rPr>
          <w:b/>
          <w:color w:val="9A6420"/>
          <w:sz w:val="28"/>
        </w:rPr>
        <w:t xml:space="preserve">6  </w:t>
      </w:r>
      <w:r>
        <w:rPr>
          <w:rFonts w:ascii="Georgia" w:hAnsi="Georgia"/>
          <w:b/>
          <w:color w:val="14304F"/>
          <w:sz w:val="28"/>
        </w:rPr>
        <w:t>Pour se documenter</w:t>
      </w:r>
    </w:p>
    <w:tbl>
      <w:tblPr>
        <w:tblStyle w:val="TableGrid"/>
        <w:tblW w:type="auto" w:w="0"/>
        <w:tblLook w:firstColumn="1" w:firstRow="1" w:lastColumn="0" w:lastRow="0" w:noHBand="0" w:noVBand="1" w:val="04A0"/>
      </w:tblPr>
      <w:tblGrid>
        <w:gridCol w:w="2466"/>
        <w:gridCol w:w="2466"/>
        <w:gridCol w:w="2466"/>
        <w:gridCol w:w="2466"/>
      </w:tblGrid>
      <w:tr>
        <w:tc>
          <w:tcPr>
            <w:tcW w:type="dxa" w:w="2466"/>
            <w:shd w:val="clear" w:color="auto" w:fill="e4eaf3"/>
          </w:tcPr>
          <w:p>
            <w:r>
              <w:rPr>
                <w:b/>
                <w:i w:val="0"/>
                <w:color w:val="14304F"/>
                <w:sz w:val="19"/>
              </w:rPr>
              <w:t>Structure ou ressource</w:t>
            </w:r>
          </w:p>
        </w:tc>
        <w:tc>
          <w:tcPr>
            <w:tcW w:type="dxa" w:w="2466"/>
            <w:shd w:val="clear" w:color="auto" w:fill="e4eaf3"/>
          </w:tcPr>
          <w:p>
            <w:r>
              <w:rPr>
                <w:b/>
                <w:i w:val="0"/>
                <w:color w:val="14304F"/>
                <w:sz w:val="19"/>
              </w:rPr>
              <w:t>Échelle, lieu</w:t>
            </w:r>
          </w:p>
        </w:tc>
        <w:tc>
          <w:tcPr>
            <w:tcW w:type="dxa" w:w="2466"/>
            <w:shd w:val="clear" w:color="auto" w:fill="e4eaf3"/>
          </w:tcPr>
          <w:p>
            <w:r>
              <w:rPr>
                <w:b/>
                <w:i w:val="0"/>
                <w:color w:val="14304F"/>
                <w:sz w:val="19"/>
              </w:rPr>
              <w:t>Ce qu'on y trouve</w:t>
            </w:r>
          </w:p>
        </w:tc>
        <w:tc>
          <w:tcPr>
            <w:tcW w:type="dxa" w:w="2466"/>
            <w:shd w:val="clear" w:color="auto" w:fill="e4eaf3"/>
          </w:tcPr>
          <w:p>
            <w:r>
              <w:rPr>
                <w:b/>
                <w:i w:val="0"/>
                <w:color w:val="14304F"/>
                <w:sz w:val="19"/>
              </w:rPr>
              <w:t>Lien</w:t>
            </w:r>
          </w:p>
        </w:tc>
      </w:tr>
      <w:tr>
        <w:tc>
          <w:tcPr>
            <w:tcW w:type="dxa" w:w="2466"/>
            <w:shd w:val="clear" w:color="auto" w:fill="f3f4f7"/>
          </w:tcPr>
          <w:p>
            <w:r>
              <w:rPr>
                <w:b/>
                <w:i w:val="0"/>
                <w:sz w:val="19"/>
              </w:rPr>
              <w:t xml:space="preserve">Natacha Galvez, « L'intervention artistique en milieu carcéral : entre discours et expérience », </w:t>
            </w:r>
            <w:r>
              <w:rPr>
                <w:b/>
                <w:i/>
                <w:sz w:val="19"/>
              </w:rPr>
              <w:t>Nouvelles pratiques sociales</w:t>
            </w:r>
            <w:r>
              <w:rPr>
                <w:b/>
                <w:i w:val="0"/>
                <w:sz w:val="19"/>
              </w:rPr>
              <w:t>, 2020</w:t>
            </w:r>
          </w:p>
        </w:tc>
        <w:tc>
          <w:tcPr>
            <w:tcW w:type="dxa" w:w="2466"/>
          </w:tcPr>
          <w:p>
            <w:r>
              <w:rPr>
                <w:b w:val="0"/>
                <w:i w:val="0"/>
                <w:sz w:val="19"/>
              </w:rPr>
              <w:t>Vol. 31, n° 1, p. 58-74 ; accès libre</w:t>
            </w:r>
          </w:p>
        </w:tc>
        <w:tc>
          <w:tcPr>
            <w:tcW w:type="dxa" w:w="2466"/>
          </w:tcPr>
          <w:p>
            <w:r>
              <w:rPr>
                <w:b w:val="0"/>
                <w:i w:val="0"/>
                <w:sz w:val="19"/>
              </w:rPr>
              <w:t>Article de recherche : l'écart entre le discours des institutions et l'expérience d'un atelier d'arts plastiques en détention</w:t>
            </w:r>
          </w:p>
        </w:tc>
        <w:tc>
          <w:tcPr>
            <w:tcW w:type="dxa" w:w="2466"/>
          </w:tcPr>
          <w:p>
            <w:r>
              <w:rPr>
                <w:b w:val="0"/>
                <w:i w:val="0"/>
                <w:sz w:val="19"/>
              </w:rPr>
              <w:t>erudit.org (https://www.erudit.org/fr/revues/nps/2020-v31-n1-nps05335/1069914ar/)</w:t>
            </w:r>
          </w:p>
        </w:tc>
      </w:tr>
      <w:tr>
        <w:tc>
          <w:tcPr>
            <w:tcW w:type="dxa" w:w="2466"/>
            <w:shd w:val="clear" w:color="auto" w:fill="f3f4f7"/>
          </w:tcPr>
          <w:p>
            <w:r>
              <w:rPr>
                <w:b/>
                <w:i w:val="0"/>
                <w:sz w:val="19"/>
              </w:rPr>
              <w:t xml:space="preserve">Delphine Saurier et Clémence Montagne, « L'expérience culturelle en prison : réflexions sur une évaluation par le design », </w:t>
            </w:r>
            <w:r>
              <w:rPr>
                <w:b/>
                <w:i/>
                <w:sz w:val="19"/>
              </w:rPr>
              <w:t>Sciences du Design</w:t>
            </w:r>
            <w:r>
              <w:rPr>
                <w:b/>
                <w:i w:val="0"/>
                <w:sz w:val="19"/>
              </w:rPr>
              <w:t>, 2021</w:t>
            </w:r>
          </w:p>
        </w:tc>
        <w:tc>
          <w:tcPr>
            <w:tcW w:type="dxa" w:w="2466"/>
          </w:tcPr>
          <w:p>
            <w:r>
              <w:rPr>
                <w:b w:val="0"/>
                <w:i w:val="0"/>
                <w:sz w:val="19"/>
              </w:rPr>
              <w:t>N° 13, p. 84-93 ; accès selon abonnement</w:t>
            </w:r>
          </w:p>
        </w:tc>
        <w:tc>
          <w:tcPr>
            <w:tcW w:type="dxa" w:w="2466"/>
          </w:tcPr>
          <w:p>
            <w:r>
              <w:rPr>
                <w:b w:val="0"/>
                <w:i w:val="0"/>
                <w:sz w:val="19"/>
              </w:rPr>
              <w:t>Article : comment évaluer un projet culturel en détention</w:t>
            </w:r>
          </w:p>
        </w:tc>
        <w:tc>
          <w:tcPr>
            <w:tcW w:type="dxa" w:w="2466"/>
          </w:tcPr>
          <w:p>
            <w:r>
              <w:rPr>
                <w:b w:val="0"/>
                <w:i w:val="0"/>
                <w:sz w:val="19"/>
              </w:rPr>
              <w:t>cairn.info (https://shs.cairn.info/revue-sciences-du-design-2021-1-page-84?lang=fr)</w:t>
            </w:r>
          </w:p>
        </w:tc>
      </w:tr>
      <w:tr>
        <w:tc>
          <w:tcPr>
            <w:tcW w:type="dxa" w:w="2466"/>
            <w:shd w:val="clear" w:color="auto" w:fill="f3f4f7"/>
          </w:tcPr>
          <w:p>
            <w:r>
              <w:rPr>
                <w:b/>
                <w:i w:val="0"/>
                <w:sz w:val="19"/>
              </w:rPr>
              <w:t>« Faire vivre la culture en milieu pénitentiaire : la résidence d'artiste »</w:t>
            </w:r>
          </w:p>
        </w:tc>
        <w:tc>
          <w:tcPr>
            <w:tcW w:type="dxa" w:w="2466"/>
          </w:tcPr>
          <w:p>
            <w:r>
              <w:rPr>
                <w:b w:val="0"/>
                <w:i w:val="0"/>
                <w:sz w:val="19"/>
              </w:rPr>
              <w:t>École nationale d'administration pénitentiaire, janvier 2020</w:t>
            </w:r>
          </w:p>
        </w:tc>
        <w:tc>
          <w:tcPr>
            <w:tcW w:type="dxa" w:w="2466"/>
          </w:tcPr>
          <w:p>
            <w:r>
              <w:rPr>
                <w:b w:val="0"/>
                <w:i w:val="0"/>
                <w:sz w:val="19"/>
              </w:rPr>
              <w:t>Dossier documentaire : textes réunis sur les résidences d'artistes, en détention et ailleurs</w:t>
            </w:r>
          </w:p>
        </w:tc>
        <w:tc>
          <w:tcPr>
            <w:tcW w:type="dxa" w:w="2466"/>
          </w:tcPr>
          <w:p>
            <w:r>
              <w:rPr>
                <w:b w:val="0"/>
                <w:i w:val="0"/>
                <w:sz w:val="19"/>
              </w:rPr>
              <w:t>bibenligne.fr (https://enapagen1.bibenligne.fr/vendors/richfilemanager/connectors/php/filemanager.php?mode=readfile&amp;path=%2FDossiers_documentaires%2Fdossier_doc_faire_vivre_la_culture_en_MP-_la_r%C3%A9sidence_d_artiste_%282019%29.pdf)</w:t>
            </w:r>
          </w:p>
        </w:tc>
      </w:tr>
      <w:tr>
        <w:tc>
          <w:tcPr>
            <w:tcW w:type="dxa" w:w="2466"/>
            <w:shd w:val="clear" w:color="auto" w:fill="f3f4f7"/>
          </w:tcPr>
          <w:p>
            <w:r>
              <w:rPr>
                <w:b/>
                <w:i w:val="0"/>
                <w:sz w:val="19"/>
              </w:rPr>
              <w:t>Étude sur les espaces culturels en prison</w:t>
            </w:r>
          </w:p>
        </w:tc>
        <w:tc>
          <w:tcPr>
            <w:tcW w:type="dxa" w:w="2466"/>
          </w:tcPr>
          <w:p>
            <w:r>
              <w:rPr>
                <w:b w:val="0"/>
                <w:i w:val="0"/>
                <w:sz w:val="19"/>
              </w:rPr>
              <w:t>Ministère de la Culture, 31 octobre 2025</w:t>
            </w:r>
          </w:p>
        </w:tc>
        <w:tc>
          <w:tcPr>
            <w:tcW w:type="dxa" w:w="2466"/>
          </w:tcPr>
          <w:p>
            <w:r>
              <w:rPr>
                <w:b w:val="0"/>
                <w:i w:val="0"/>
                <w:sz w:val="19"/>
              </w:rPr>
              <w:t>Ce qu'est un espace culturel en détention, et s'il favorise une présence artistique durable ; étude et synthèse en PDF</w:t>
            </w:r>
          </w:p>
        </w:tc>
        <w:tc>
          <w:tcPr>
            <w:tcW w:type="dxa" w:w="2466"/>
          </w:tcPr>
          <w:p>
            <w:r>
              <w:rPr>
                <w:b w:val="0"/>
                <w:i w:val="0"/>
                <w:sz w:val="19"/>
              </w:rPr>
              <w:t>culture.gouv.fr (https://www.culture.gouv.fr/thematiques/developpement-culturel/le-developpement-culturel-en-france/culture-et-justice/actualites/une-etude-pour-interroger-les-espaces-culturels-en-prison)</w:t>
            </w:r>
          </w:p>
        </w:tc>
      </w:tr>
      <w:tr>
        <w:tc>
          <w:tcPr>
            <w:tcW w:type="dxa" w:w="2466"/>
            <w:shd w:val="clear" w:color="auto" w:fill="f3f4f7"/>
          </w:tcPr>
          <w:p>
            <w:r>
              <w:rPr>
                <w:b/>
                <w:i w:val="0"/>
                <w:sz w:val="19"/>
              </w:rPr>
              <w:t>Lecture-Justice</w:t>
            </w:r>
          </w:p>
        </w:tc>
        <w:tc>
          <w:tcPr>
            <w:tcW w:type="dxa" w:w="2466"/>
          </w:tcPr>
          <w:p>
            <w:r>
              <w:rPr>
                <w:b w:val="0"/>
                <w:i w:val="0"/>
                <w:sz w:val="19"/>
              </w:rPr>
              <w:t>Fédération interrégionale du livre et de la lecture</w:t>
            </w:r>
          </w:p>
        </w:tc>
        <w:tc>
          <w:tcPr>
            <w:tcW w:type="dxa" w:w="2466"/>
          </w:tcPr>
          <w:p>
            <w:r>
              <w:rPr>
                <w:b w:val="0"/>
                <w:i w:val="0"/>
                <w:sz w:val="19"/>
              </w:rPr>
              <w:t>Initiatives classées par région, ressources et glossaire pour les projets autour du livre et de la lecture</w:t>
            </w:r>
          </w:p>
        </w:tc>
        <w:tc>
          <w:tcPr>
            <w:tcW w:type="dxa" w:w="2466"/>
          </w:tcPr>
          <w:p>
            <w:r>
              <w:rPr>
                <w:b w:val="0"/>
                <w:i w:val="0"/>
                <w:sz w:val="19"/>
              </w:rPr>
              <w:t>lecture-justice.org (https://lecture-justice.org/)</w:t>
            </w:r>
          </w:p>
        </w:tc>
      </w:tr>
      <w:tr>
        <w:tc>
          <w:tcPr>
            <w:tcW w:type="dxa" w:w="2466"/>
            <w:shd w:val="clear" w:color="auto" w:fill="f3f4f7"/>
          </w:tcPr>
          <w:p>
            <w:r>
              <w:rPr>
                <w:b/>
                <w:i w:val="0"/>
                <w:sz w:val="19"/>
              </w:rPr>
              <w:t>Normandie Livre &amp; Lecture</w:t>
            </w:r>
            <w:r>
              <w:rPr>
                <w:b/>
                <w:i w:val="0"/>
                <w:sz w:val="19"/>
              </w:rPr>
              <w:t xml:space="preserve"> · En savoir plus</w:t>
            </w:r>
          </w:p>
        </w:tc>
        <w:tc>
          <w:tcPr>
            <w:tcW w:type="dxa" w:w="2466"/>
          </w:tcPr>
          <w:p>
            <w:r>
              <w:rPr>
                <w:b w:val="0"/>
                <w:i w:val="0"/>
                <w:sz w:val="19"/>
              </w:rPr>
              <w:t>Normandie</w:t>
            </w:r>
          </w:p>
        </w:tc>
        <w:tc>
          <w:tcPr>
            <w:tcW w:type="dxa" w:w="2466"/>
          </w:tcPr>
          <w:p>
            <w:r>
              <w:rPr>
                <w:b w:val="0"/>
                <w:i w:val="0"/>
                <w:sz w:val="19"/>
              </w:rPr>
              <w:t>Les textes officiels depuis 1965, une bibliographie sélective et des initiatives d'autres régions</w:t>
            </w:r>
          </w:p>
        </w:tc>
        <w:tc>
          <w:tcPr>
            <w:tcW w:type="dxa" w:w="2466"/>
          </w:tcPr>
          <w:p>
            <w:r>
              <w:rPr>
                <w:b w:val="0"/>
                <w:i w:val="0"/>
                <w:sz w:val="19"/>
              </w:rPr>
              <w:t>normandielivre.fr (https://culture-justice.normandielivre.fr/pour-en-savoir-plus/)</w:t>
            </w:r>
          </w:p>
        </w:tc>
      </w:tr>
      <w:tr>
        <w:tc>
          <w:tcPr>
            <w:tcW w:type="dxa" w:w="2466"/>
            <w:shd w:val="clear" w:color="auto" w:fill="f3f4f7"/>
          </w:tcPr>
          <w:p>
            <w:r>
              <w:rPr>
                <w:b/>
                <w:i w:val="0"/>
                <w:sz w:val="19"/>
              </w:rPr>
              <w:t xml:space="preserve">Natacha Galvez, « France : évasive évasion », entretien, </w:t>
            </w:r>
            <w:r>
              <w:rPr>
                <w:b/>
                <w:i/>
                <w:sz w:val="19"/>
              </w:rPr>
              <w:t>Prison Insider</w:t>
            </w:r>
            <w:r>
              <w:rPr>
                <w:b/>
                <w:i w:val="0"/>
                <w:sz w:val="19"/>
              </w:rPr>
              <w:t>, 2019</w:t>
            </w:r>
          </w:p>
        </w:tc>
        <w:tc>
          <w:tcPr>
            <w:tcW w:type="dxa" w:w="2466"/>
          </w:tcPr>
          <w:p>
            <w:r>
              <w:rPr>
                <w:b w:val="0"/>
                <w:i w:val="0"/>
                <w:sz w:val="19"/>
              </w:rPr>
              <w:t>25 novembre 2019</w:t>
            </w:r>
          </w:p>
        </w:tc>
        <w:tc>
          <w:tcPr>
            <w:tcW w:type="dxa" w:w="2466"/>
          </w:tcPr>
          <w:p>
            <w:r>
              <w:rPr>
                <w:b w:val="0"/>
                <w:i w:val="0"/>
                <w:sz w:val="19"/>
              </w:rPr>
              <w:t>Ses cours d'histoire de l'art à des personnes détenues de Fleury-Mérogis, et ce qu'ils lui ont appris de la création en prison</w:t>
            </w:r>
          </w:p>
        </w:tc>
        <w:tc>
          <w:tcPr>
            <w:tcW w:type="dxa" w:w="2466"/>
          </w:tcPr>
          <w:p>
            <w:r>
              <w:rPr>
                <w:b w:val="0"/>
                <w:i w:val="0"/>
                <w:sz w:val="19"/>
              </w:rPr>
              <w:t>prison-insider.com (https://www.prison-insider.com/articles/france-evasive-evasion)</w:t>
            </w:r>
          </w:p>
        </w:tc>
      </w:tr>
      <w:tr>
        <w:tc>
          <w:tcPr>
            <w:tcW w:type="dxa" w:w="2466"/>
            <w:shd w:val="clear" w:color="auto" w:fill="f3f4f7"/>
          </w:tcPr>
          <w:p>
            <w:r>
              <w:rPr>
                <w:b/>
                <w:i w:val="0"/>
                <w:sz w:val="19"/>
              </w:rPr>
              <w:t>Fédération Léo Lagrange</w:t>
            </w:r>
            <w:r>
              <w:rPr>
                <w:b/>
                <w:i w:val="0"/>
                <w:sz w:val="19"/>
              </w:rPr>
              <w:t xml:space="preserve"> · « Art, culture et milieu carcéral »</w:t>
            </w:r>
          </w:p>
        </w:tc>
        <w:tc>
          <w:tcPr>
            <w:tcW w:type="dxa" w:w="2466"/>
          </w:tcPr>
          <w:p>
            <w:r>
              <w:rPr>
                <w:b w:val="0"/>
                <w:i w:val="0"/>
                <w:sz w:val="19"/>
              </w:rPr>
              <w:t>Article, 21 août 2023</w:t>
            </w:r>
          </w:p>
        </w:tc>
        <w:tc>
          <w:tcPr>
            <w:tcW w:type="dxa" w:w="2466"/>
          </w:tcPr>
          <w:p>
            <w:r>
              <w:rPr>
                <w:b w:val="0"/>
                <w:i w:val="0"/>
                <w:sz w:val="19"/>
              </w:rPr>
              <w:t>Ce que la pratique artistique apporte en détention, vu par une fédération qui coordonne des programmations</w:t>
            </w:r>
          </w:p>
        </w:tc>
        <w:tc>
          <w:tcPr>
            <w:tcW w:type="dxa" w:w="2466"/>
          </w:tcPr>
          <w:p>
            <w:r>
              <w:rPr>
                <w:b w:val="0"/>
                <w:i w:val="0"/>
                <w:sz w:val="19"/>
              </w:rPr>
              <w:t>leolagrange.org (https://www.leolagrange.org/art-culture-et-milieu-carceral-quand-la-pratique-artistique-empeche-lisolement/)</w:t>
            </w:r>
          </w:p>
        </w:tc>
      </w:tr>
    </w:tbl>
    <w:p>
      <w:pPr>
        <w:spacing w:after="80"/>
      </w:pPr>
      <w:r>
        <w:rPr>
          <w:b w:val="0"/>
          <w:i w:val="0"/>
          <w:color w:val="555555"/>
          <w:sz w:val="19"/>
        </w:rPr>
        <w:t>Le compte rendu complet du webinaire : lacondamine.org/blog/2023/09/28/le-dispositif-culture-justice-est-il-interessant-pour-les-artistes/</w:t>
      </w:r>
    </w:p>
    <w:sectPr w:rsidR="00FC693F" w:rsidRPr="0006063C" w:rsidSect="00034616">
      <w:footerReference w:type="default" r:id="rId9"/>
      <w:pgSz w:w="11906" w:h="16838"/>
      <w:pgMar w:top="907"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777777"/>
        <w:sz w:val="15"/>
      </w:rPr>
      <w:t>La Condamine, association loi 1901 · lacondamine.org — Fiche pratique n° 29, d'après le webinaire de Pierre-Benoit Roux du 21 septembre 2023. Liens vérifiés le 4 octobre 2026. Licence Creative Commons BY-NC-SA 4.0 : vous pouvez copier, partager et adapter cette fiche, sans usage commercial, en citant La Condamine avec un lien vers lacondamine.org, et en la diffusant sous la même licence.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Helvetica" w:hAnsi="Helvetic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Annuaire : intervenir en milieu pénitentiaire (Culture-Justice)</dc:title>
  <dc:subject/>
  <dc:creator>La Condamine</dc:creator>
  <cp:keywords/>
  <dc:description>generated by python-docx</dc:description>
  <cp:lastModifiedBy/>
  <cp:revision>1</cp:revision>
  <dcterms:created xsi:type="dcterms:W3CDTF">2013-12-23T23:15:00Z</dcterms:created>
  <dcterms:modified xsi:type="dcterms:W3CDTF">2013-12-23T23:15:00Z</dcterms:modified>
  <cp:category/>
</cp:coreProperties>
</file>