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16 · Organiser son activité</w:t>
      </w:r>
    </w:p>
    <w:p>
      <w:r>
        <w:rPr>
          <w:rFonts w:ascii="Georgia" w:hAnsi="Georgia"/>
          <w:b/>
          <w:color w:val="14304F"/>
          <w:sz w:val="44"/>
        </w:rPr>
        <w:t>Cartographier ses offres : diversifier sans se disperser</w:t>
      </w:r>
    </w:p>
    <w:p>
      <w:pPr>
        <w:spacing w:after="80"/>
      </w:pPr>
      <w:r>
        <w:rPr>
          <w:b w:val="0"/>
          <w:i w:val="0"/>
          <w:color w:val="444444"/>
          <w:sz w:val="22"/>
        </w:rPr>
        <w:t>Diversifier, c'est composer une mosaïque d'activités qui convergent toutes vers votre travail ; se disperser, c'est l'inverse. Cette fiche reprend l'exercice proposé pendant le webinaire. Elle se remplit au crayon, en partant de votre démarche : une carte de vos offres, un tableau pour les décrire, un test avant d'en lancer une, un budget de temps.</w:t>
      </w:r>
    </w:p>
    <w:p>
      <w:pPr>
        <w:spacing w:before="280" w:after="120"/>
      </w:pPr>
      <w:r>
        <w:rPr>
          <w:b/>
          <w:color w:val="9A6420"/>
          <w:sz w:val="28"/>
        </w:rPr>
        <w:t xml:space="preserve">1  </w:t>
      </w:r>
      <w:r>
        <w:rPr>
          <w:rFonts w:ascii="Georgia" w:hAnsi="Georgia"/>
          <w:b/>
          <w:color w:val="14304F"/>
          <w:sz w:val="28"/>
        </w:rPr>
        <w:t>Une carte ou deux ?</w:t>
      </w:r>
    </w:p>
    <w:p>
      <w:pPr>
        <w:spacing w:after="80"/>
      </w:pPr>
      <w:r>
        <w:rPr>
          <w:b w:val="0"/>
          <w:i w:val="0"/>
        </w:rPr>
        <w:t>Vous pratiquez plusieurs médiums ou plusieurs disciplines ? Partez de votre démarche, d'un axe clair. Si la démarche est la même et que seuls les médiums changent, c'est une seule activité. Si vos pratiques n'ont pas de lien, le dessin de presse et le théâtre par exemple, ce sont deux activités, à penser séparément.</w:t>
      </w:r>
    </w:p>
    <w:p>
      <w:pPr>
        <w:spacing w:after="80"/>
      </w:pPr>
      <w:r>
        <w:rPr>
          <w:b/>
          <w:i w:val="0"/>
        </w:rPr>
        <w:t>Vos pratiques, et ce qui les relie (votre démarche, vos thèmes)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tc>
      </w:tr>
    </w:tbl>
    <w:p>
      <w:pPr>
        <w:spacing w:after="40"/>
      </w:pPr>
    </w:p>
    <w:p>
      <w:pPr>
        <w:spacing w:after="40"/>
      </w:pPr>
      <w:r>
        <w:rPr>
          <w:b w:val="0"/>
          <w:i w:val="0"/>
        </w:rPr>
        <w:t>☐  Même démarche, médiums différents : une seule activité, une seule carte.</w:t>
      </w:r>
    </w:p>
    <w:p>
      <w:pPr>
        <w:spacing w:after="40"/>
      </w:pPr>
      <w:r>
        <w:rPr>
          <w:b w:val="0"/>
          <w:i w:val="0"/>
        </w:rPr>
        <w:t>☐  Pas de lien entre mes pratiques : deux activités, une carte pour chacune.</w:t>
      </w:r>
    </w:p>
    <w:p>
      <w:pPr>
        <w:spacing w:before="280" w:after="120"/>
      </w:pPr>
      <w:r>
        <w:rPr>
          <w:b/>
          <w:color w:val="9A6420"/>
          <w:sz w:val="28"/>
        </w:rPr>
        <w:t xml:space="preserve">2  </w:t>
      </w:r>
      <w:r>
        <w:rPr>
          <w:rFonts w:ascii="Georgia" w:hAnsi="Georgia"/>
          <w:b/>
          <w:color w:val="14304F"/>
          <w:sz w:val="28"/>
        </w:rPr>
        <w:t>Tracer la carte de vos offres</w:t>
      </w:r>
    </w:p>
    <w:p>
      <w:pPr>
        <w:spacing w:after="80"/>
      </w:pPr>
      <w:r>
        <w:rPr>
          <w:b w:val="0"/>
          <w:i w:val="0"/>
        </w:rPr>
        <w:t xml:space="preserve">Une </w:t>
      </w:r>
      <w:r>
        <w:rPr>
          <w:b/>
          <w:i w:val="0"/>
        </w:rPr>
        <w:t>offre</w:t>
      </w:r>
      <w:r>
        <w:rPr>
          <w:b w:val="0"/>
          <w:i w:val="0"/>
        </w:rPr>
        <w:t xml:space="preserve">, c'est ce qui est proposé sur un marché. Au centre, votre </w:t>
      </w:r>
      <w:r>
        <w:rPr>
          <w:b/>
          <w:i w:val="0"/>
        </w:rPr>
        <w:t>positionnement</w:t>
      </w:r>
      <w:r>
        <w:rPr>
          <w:b w:val="0"/>
          <w:i w:val="0"/>
        </w:rPr>
        <w:t xml:space="preserve"> : pourquoi vous créez, vos grands thèmes (l'art écologique, la figure féminine…). De part et d'autre, les </w:t>
      </w:r>
      <w:r>
        <w:rPr>
          <w:b/>
          <w:i w:val="0"/>
        </w:rPr>
        <w:t>œuvres</w:t>
      </w:r>
      <w:r>
        <w:rPr>
          <w:b w:val="0"/>
          <w:i w:val="0"/>
        </w:rPr>
        <w:t xml:space="preserve">, l'œuvre matérielle, et les </w:t>
      </w:r>
      <w:r>
        <w:rPr>
          <w:b/>
          <w:i w:val="0"/>
        </w:rPr>
        <w:t>services</w:t>
      </w:r>
      <w:r>
        <w:rPr>
          <w:b w:val="0"/>
          <w:i w:val="0"/>
        </w:rPr>
        <w:t xml:space="preserve"> autour de l'œuvre. Sous chacun, ce qui s'adresse aux </w:t>
      </w:r>
      <w:r>
        <w:rPr>
          <w:b/>
          <w:i w:val="0"/>
        </w:rPr>
        <w:t>particuliers</w:t>
      </w:r>
      <w:r>
        <w:rPr>
          <w:b w:val="0"/>
          <w:i w:val="0"/>
        </w:rPr>
        <w:t xml:space="preserve"> et ce qui s'adresse aux </w:t>
      </w:r>
      <w:r>
        <w:rPr>
          <w:b/>
          <w:i w:val="0"/>
        </w:rPr>
        <w:t>entreprises</w:t>
      </w:r>
      <w:r>
        <w:rPr>
          <w:b w:val="0"/>
          <w:i w:val="0"/>
        </w:rPr>
        <w:t xml:space="preserve">. Sous les œuvres pour particuliers, les </w:t>
      </w:r>
      <w:r>
        <w:rPr>
          <w:b/>
          <w:i w:val="0"/>
        </w:rPr>
        <w:t>originaux</w:t>
      </w:r>
      <w:r>
        <w:rPr>
          <w:b w:val="0"/>
          <w:i w:val="0"/>
        </w:rPr>
        <w:t xml:space="preserve"> et les </w:t>
      </w:r>
      <w:r>
        <w:rPr>
          <w:b/>
          <w:i w:val="0"/>
        </w:rPr>
        <w:t>reproductions</w:t>
      </w:r>
      <w:r>
        <w:rPr>
          <w:b w:val="0"/>
          <w:i w:val="0"/>
        </w:rPr>
        <w:t>.</w:t>
      </w:r>
    </w:p>
    <w:p>
      <w:pPr>
        <w:spacing w:after="80"/>
      </w:pPr>
      <w:r>
        <w:rPr>
          <w:b/>
          <w:i w:val="0"/>
          <w:color w:val="14304F"/>
          <w:sz w:val="24"/>
        </w:rPr>
        <w:t>Votre positionnement : pourquoi vous créez, vos grands thèmes</w:t>
      </w:r>
    </w:p>
    <w:tbl>
      <w:tblPr>
        <w:tblStyle w:val="TableGrid"/>
        <w:tblW w:type="auto" w:w="0"/>
        <w:tblLook w:firstColumn="1" w:firstRow="1" w:lastColumn="0" w:lastRow="0" w:noHBand="0" w:noVBand="1" w:val="04A0"/>
      </w:tblPr>
      <w:tblGrid>
        <w:gridCol w:w="9866"/>
      </w:tblGrid>
      <w:tr>
        <w:tc>
          <w:tcPr>
            <w:tcW w:type="dxa" w:w="9866"/>
            <w:shd w:val="clear" w:color="auto" w:fill="e4eaf3"/>
          </w:tcPr>
          <w:p>
            <w:r>
              <w:rPr>
                <w:color w:val="999999"/>
              </w:rPr>
              <w:t>Écrivez ici…</w:t>
            </w:r>
          </w:p>
          <w:p/>
        </w:tc>
      </w:tr>
    </w:tbl>
    <w:p>
      <w:pPr>
        <w:spacing w:after="40"/>
      </w:pPr>
    </w:p>
    <w:p>
      <w:pPr>
        <w:spacing w:after="80"/>
      </w:pPr>
      <w:r>
        <w:rPr>
          <w:b/>
          <w:i w:val="0"/>
          <w:color w:val="14304F"/>
          <w:sz w:val="22"/>
        </w:rPr>
        <w:t>Œuvres</w:t>
      </w:r>
    </w:p>
    <w:p>
      <w:pPr>
        <w:spacing w:after="80"/>
      </w:pPr>
      <w:r>
        <w:rPr>
          <w:b/>
          <w:i w:val="0"/>
          <w:color w:val="9A6420"/>
        </w:rPr>
        <w:t>Particuliers</w:t>
      </w:r>
    </w:p>
    <w:p>
      <w:pPr>
        <w:spacing w:after="20"/>
      </w:pPr>
      <w:r>
        <w:rPr>
          <w:b w:val="0"/>
          <w:i w:val="0"/>
          <w:sz w:val="19"/>
        </w:rPr>
        <w:t>Originaux</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p>
      <w:pPr>
        <w:spacing w:after="20"/>
      </w:pPr>
      <w:r>
        <w:rPr>
          <w:b w:val="0"/>
          <w:i w:val="0"/>
          <w:sz w:val="19"/>
        </w:rPr>
        <w:t>Reproductions</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p>
      <w:pPr>
        <w:spacing w:after="80"/>
      </w:pPr>
      <w:r>
        <w:rPr>
          <w:b/>
          <w:i w:val="0"/>
          <w:color w:val="9A6420"/>
        </w:rPr>
        <w:t>Entreprises</w:t>
      </w:r>
    </w:p>
    <w:p>
      <w:pPr>
        <w:spacing w:after="20"/>
      </w:pPr>
      <w:r>
        <w:rPr>
          <w:b w:val="0"/>
          <w:i w:val="0"/>
          <w:sz w:val="19"/>
        </w:rPr>
        <w:t>Pour des hôtels, des restaurants…</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p>
      <w:pPr>
        <w:spacing w:after="80"/>
      </w:pPr>
      <w:r>
        <w:rPr>
          <w:b/>
          <w:i w:val="0"/>
          <w:color w:val="14304F"/>
          <w:sz w:val="22"/>
        </w:rPr>
        <w:t>Services autour de l'œuvre</w:t>
      </w:r>
    </w:p>
    <w:p>
      <w:pPr>
        <w:spacing w:after="80"/>
      </w:pPr>
      <w:r>
        <w:rPr>
          <w:b/>
          <w:i w:val="0"/>
          <w:color w:val="9A6420"/>
        </w:rPr>
        <w:t>Particuliers</w:t>
      </w:r>
    </w:p>
    <w:p>
      <w:pPr>
        <w:spacing w:after="20"/>
      </w:pPr>
      <w:r>
        <w:rPr>
          <w:b w:val="0"/>
          <w:i w:val="0"/>
          <w:sz w:val="19"/>
        </w:rPr>
        <w:t>Cours</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p>
      <w:pPr>
        <w:spacing w:after="20"/>
      </w:pPr>
      <w:r>
        <w:rPr>
          <w:b w:val="0"/>
          <w:i w:val="0"/>
          <w:sz w:val="19"/>
        </w:rPr>
        <w:t>Ateliers sur vos thèmes</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p>
      <w:pPr>
        <w:spacing w:after="80"/>
      </w:pPr>
      <w:r>
        <w:rPr>
          <w:b/>
          <w:i w:val="0"/>
          <w:color w:val="9A6420"/>
        </w:rPr>
        <w:t>Entreprises</w:t>
      </w:r>
    </w:p>
    <w:p>
      <w:pPr>
        <w:spacing w:after="20"/>
      </w:pPr>
      <w:r>
        <w:rPr>
          <w:b w:val="0"/>
          <w:i w:val="0"/>
          <w:sz w:val="19"/>
        </w:rPr>
        <w:t>Ateliers sur vos thèmes</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p>
      <w:pPr>
        <w:spacing w:after="20"/>
      </w:pPr>
      <w:r>
        <w:rPr>
          <w:b w:val="0"/>
          <w:i w:val="0"/>
          <w:sz w:val="19"/>
        </w:rPr>
        <w:t>Team building</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p>
      <w:pPr>
        <w:spacing w:after="80"/>
      </w:pPr>
      <w:r>
        <w:rPr>
          <w:b w:val="0"/>
          <w:i w:val="0"/>
        </w:rPr>
        <w:t>Notez ce que vous proposez déjà, puis ce que vous pourriez proposer en partant de l'existant. Faites varier les médiums, pas le style. Une case vide est une piste, à passer au test de l'étape 4.</w:t>
      </w:r>
    </w:p>
    <w:p>
      <w:pPr>
        <w:spacing w:before="280" w:after="120"/>
      </w:pPr>
      <w:r>
        <w:rPr>
          <w:b/>
          <w:color w:val="9A6420"/>
          <w:sz w:val="28"/>
        </w:rPr>
        <w:t xml:space="preserve">3  </w:t>
      </w:r>
      <w:r>
        <w:rPr>
          <w:rFonts w:ascii="Georgia" w:hAnsi="Georgia"/>
          <w:b/>
          <w:color w:val="14304F"/>
          <w:sz w:val="28"/>
        </w:rPr>
        <w:t>Décrire chaque offre</w:t>
      </w:r>
    </w:p>
    <w:p>
      <w:pPr>
        <w:spacing w:after="80"/>
      </w:pPr>
      <w:r>
        <w:rPr>
          <w:b w:val="0"/>
          <w:i w:val="0"/>
        </w:rPr>
        <w:t xml:space="preserve">Une ligne par offre de la carte, existante ou à créer. </w:t>
      </w:r>
      <w:r>
        <w:rPr>
          <w:b/>
          <w:i w:val="0"/>
        </w:rPr>
        <w:t>Format, prix</w:t>
      </w:r>
      <w:r>
        <w:rPr>
          <w:b w:val="0"/>
          <w:i w:val="0"/>
        </w:rPr>
        <w:t xml:space="preserve"> : ni les mêmes œuvres ni les mêmes prix pour les particuliers et pour les entreprises, et le prix pour une entreprise n'est pas toujours le plus élevé. </w:t>
      </w:r>
      <w:r>
        <w:rPr>
          <w:b/>
          <w:i w:val="0"/>
        </w:rPr>
        <w:t>Circuit</w:t>
      </w:r>
      <w:r>
        <w:rPr>
          <w:b w:val="0"/>
          <w:i w:val="0"/>
        </w:rPr>
        <w:t xml:space="preserve"> : où l'offre se vend ; un livre ne se vend pas au même endroit qu'un original mis aux enchères. </w:t>
      </w:r>
      <w:r>
        <w:rPr>
          <w:b/>
          <w:i w:val="0"/>
        </w:rPr>
        <w:t>Cible</w:t>
      </w:r>
      <w:r>
        <w:rPr>
          <w:b w:val="0"/>
          <w:i w:val="0"/>
        </w:rPr>
        <w:t xml:space="preserve"> : qui, précisément ? Dans votre niche, il y a peut-être encore une niche.</w:t>
      </w:r>
    </w:p>
    <w:p>
      <w:pPr>
        <w:spacing w:after="80"/>
      </w:pPr>
      <w:r>
        <w:rPr>
          <w:b/>
          <w:i w:val="0"/>
        </w:rPr>
        <w:t>H/V</w:t>
      </w:r>
      <w:r>
        <w:rPr>
          <w:b w:val="0"/>
          <w:i w:val="0"/>
        </w:rPr>
        <w:t xml:space="preserve"> : </w:t>
      </w:r>
      <w:r>
        <w:rPr>
          <w:b/>
          <w:i w:val="0"/>
        </w:rPr>
        <w:t>horizontale</w:t>
      </w:r>
      <w:r>
        <w:rPr>
          <w:b w:val="0"/>
          <w:i w:val="0"/>
        </w:rPr>
        <w:t xml:space="preserve">, vous variez autour de vos œuvres (format, prix, nature) et de leurs circuits ; </w:t>
      </w:r>
      <w:r>
        <w:rPr>
          <w:b/>
          <w:i w:val="0"/>
        </w:rPr>
        <w:t>verticale</w:t>
      </w:r>
      <w:r>
        <w:rPr>
          <w:b w:val="0"/>
          <w:i w:val="0"/>
        </w:rPr>
        <w:t>, vous faites vous-même ce que d'autres font d'habitude pour vous, comme exposer ou distribuer, de préférence en collectif.</w:t>
      </w:r>
    </w:p>
    <w:p>
      <w:pPr>
        <w:spacing w:after="80"/>
      </w:pPr>
      <w:r>
        <w:rPr>
          <w:b/>
          <w:i w:val="0"/>
          <w:color w:val="14304F"/>
          <w:sz w:val="23"/>
        </w:rPr>
        <w:t>L'exemple donné pendant le webinaire : un illustrateur</w:t>
      </w:r>
    </w:p>
    <w:tbl>
      <w:tblPr>
        <w:tblStyle w:val="TableGrid"/>
        <w:tblW w:type="auto" w:w="0"/>
        <w:tblLook w:firstColumn="1" w:firstRow="1" w:lastColumn="0" w:lastRow="0" w:noHBand="0" w:noVBand="1" w:val="04A0"/>
      </w:tblPr>
      <w:tblGrid>
        <w:gridCol w:w="1644"/>
        <w:gridCol w:w="1644"/>
        <w:gridCol w:w="1644"/>
        <w:gridCol w:w="1644"/>
        <w:gridCol w:w="1644"/>
        <w:gridCol w:w="1644"/>
      </w:tblGrid>
      <w:tr>
        <w:tc>
          <w:tcPr>
            <w:tcW w:type="dxa" w:w="1644"/>
            <w:shd w:val="clear" w:color="auto" w:fill="e4eaf3"/>
          </w:tcPr>
          <w:p>
            <w:r>
              <w:rPr>
                <w:b/>
                <w:i w:val="0"/>
                <w:color w:val="14304F"/>
                <w:sz w:val="19"/>
              </w:rPr>
              <w:t>Offre (case de la carte)</w:t>
            </w:r>
          </w:p>
        </w:tc>
        <w:tc>
          <w:tcPr>
            <w:tcW w:type="dxa" w:w="1644"/>
            <w:shd w:val="clear" w:color="auto" w:fill="e4eaf3"/>
          </w:tcPr>
          <w:p>
            <w:r>
              <w:rPr>
                <w:b/>
                <w:i w:val="0"/>
                <w:color w:val="14304F"/>
                <w:sz w:val="19"/>
              </w:rPr>
              <w:t>Format, prix</w:t>
            </w:r>
          </w:p>
        </w:tc>
        <w:tc>
          <w:tcPr>
            <w:tcW w:type="dxa" w:w="1644"/>
            <w:shd w:val="clear" w:color="auto" w:fill="e4eaf3"/>
          </w:tcPr>
          <w:p>
            <w:r>
              <w:rPr>
                <w:b/>
                <w:i w:val="0"/>
                <w:color w:val="14304F"/>
                <w:sz w:val="19"/>
              </w:rPr>
              <w:t>Circuit</w:t>
            </w:r>
          </w:p>
        </w:tc>
        <w:tc>
          <w:tcPr>
            <w:tcW w:type="dxa" w:w="1644"/>
            <w:shd w:val="clear" w:color="auto" w:fill="e4eaf3"/>
          </w:tcPr>
          <w:p>
            <w:r>
              <w:rPr>
                <w:b/>
                <w:i w:val="0"/>
                <w:color w:val="14304F"/>
                <w:sz w:val="19"/>
              </w:rPr>
              <w:t>Cible</w:t>
            </w:r>
          </w:p>
        </w:tc>
        <w:tc>
          <w:tcPr>
            <w:tcW w:type="dxa" w:w="1644"/>
            <w:shd w:val="clear" w:color="auto" w:fill="e4eaf3"/>
          </w:tcPr>
          <w:p>
            <w:r>
              <w:rPr>
                <w:b/>
                <w:i w:val="0"/>
                <w:color w:val="14304F"/>
                <w:sz w:val="19"/>
              </w:rPr>
              <w:t>H/V</w:t>
            </w:r>
          </w:p>
        </w:tc>
        <w:tc>
          <w:tcPr>
            <w:tcW w:type="dxa" w:w="1644"/>
            <w:shd w:val="clear" w:color="auto" w:fill="e4eaf3"/>
          </w:tcPr>
          <w:p>
            <w:r>
              <w:rPr>
                <w:b/>
                <w:i w:val="0"/>
                <w:color w:val="14304F"/>
                <w:sz w:val="19"/>
              </w:rPr>
              <w:t>Statut</w:t>
            </w:r>
          </w:p>
        </w:tc>
      </w:tr>
      <w:tr>
        <w:tc>
          <w:tcPr>
            <w:tcW w:type="dxa" w:w="1644"/>
          </w:tcPr>
          <w:p>
            <w:r>
              <w:rPr>
                <w:b/>
                <w:i w:val="0"/>
                <w:sz w:val="19"/>
              </w:rPr>
              <w:t>Originaux</w:t>
            </w:r>
            <w:r>
              <w:rPr>
                <w:b w:val="0"/>
                <w:i w:val="0"/>
                <w:sz w:val="19"/>
              </w:rPr>
              <w:t xml:space="preserve"> (œuvres, particuliers)</w:t>
            </w:r>
          </w:p>
        </w:tc>
        <w:tc>
          <w:tcPr>
            <w:tcW w:type="dxa" w:w="1644"/>
          </w:tcPr>
          <w:p>
            <w:r>
              <w:rPr>
                <w:b w:val="0"/>
                <w:i w:val="0"/>
                <w:sz w:val="19"/>
              </w:rPr>
              <w:t>—</w:t>
            </w:r>
          </w:p>
        </w:tc>
        <w:tc>
          <w:tcPr>
            <w:tcW w:type="dxa" w:w="1644"/>
          </w:tcPr>
          <w:p>
            <w:r>
              <w:rPr>
                <w:b w:val="0"/>
                <w:i w:val="0"/>
                <w:sz w:val="19"/>
              </w:rPr>
              <w:t>Expositions éphémères d'une galerie ; salons, sans en abuser</w:t>
            </w:r>
          </w:p>
        </w:tc>
        <w:tc>
          <w:tcPr>
            <w:tcW w:type="dxa" w:w="1644"/>
          </w:tcPr>
          <w:p>
            <w:r>
              <w:rPr>
                <w:b w:val="0"/>
                <w:i w:val="0"/>
                <w:sz w:val="19"/>
              </w:rPr>
              <w:t>Particuliers</w:t>
            </w:r>
          </w:p>
        </w:tc>
        <w:tc>
          <w:tcPr>
            <w:tcW w:type="dxa" w:w="1644"/>
          </w:tcPr>
          <w:p>
            <w:r>
              <w:rPr>
                <w:b w:val="0"/>
                <w:i w:val="0"/>
                <w:sz w:val="19"/>
              </w:rPr>
              <w:t>H</w:t>
            </w:r>
          </w:p>
        </w:tc>
        <w:tc>
          <w:tcPr>
            <w:tcW w:type="dxa" w:w="1644"/>
          </w:tcPr>
          <w:p>
            <w:r>
              <w:rPr>
                <w:b w:val="0"/>
                <w:i w:val="0"/>
                <w:sz w:val="19"/>
              </w:rPr>
              <w:t>Revenu artistique</w:t>
            </w:r>
          </w:p>
        </w:tc>
      </w:tr>
      <w:tr>
        <w:tc>
          <w:tcPr>
            <w:tcW w:type="dxa" w:w="1644"/>
          </w:tcPr>
          <w:p>
            <w:r>
              <w:rPr>
                <w:b/>
                <w:i w:val="0"/>
                <w:sz w:val="19"/>
              </w:rPr>
              <w:t>Tirages</w:t>
            </w:r>
            <w:r>
              <w:rPr>
                <w:b w:val="0"/>
                <w:i w:val="0"/>
                <w:sz w:val="19"/>
              </w:rPr>
              <w:t xml:space="preserve"> (œuvres, particuliers, reproductions)</w:t>
            </w:r>
          </w:p>
        </w:tc>
        <w:tc>
          <w:tcPr>
            <w:tcW w:type="dxa" w:w="1644"/>
          </w:tcPr>
          <w:p>
            <w:r>
              <w:rPr>
                <w:b w:val="0"/>
                <w:i w:val="0"/>
                <w:sz w:val="19"/>
              </w:rPr>
              <w:t>—</w:t>
            </w:r>
          </w:p>
        </w:tc>
        <w:tc>
          <w:tcPr>
            <w:tcW w:type="dxa" w:w="1644"/>
          </w:tcPr>
          <w:p>
            <w:r>
              <w:rPr>
                <w:b w:val="0"/>
                <w:i w:val="0"/>
                <w:sz w:val="19"/>
              </w:rPr>
              <w:t>Galeries spécialisées dans les tirages</w:t>
            </w:r>
          </w:p>
        </w:tc>
        <w:tc>
          <w:tcPr>
            <w:tcW w:type="dxa" w:w="1644"/>
          </w:tcPr>
          <w:p>
            <w:r>
              <w:rPr>
                <w:b w:val="0"/>
                <w:i w:val="0"/>
                <w:sz w:val="19"/>
              </w:rPr>
              <w:t>Particuliers</w:t>
            </w:r>
          </w:p>
        </w:tc>
        <w:tc>
          <w:tcPr>
            <w:tcW w:type="dxa" w:w="1644"/>
          </w:tcPr>
          <w:p>
            <w:r>
              <w:rPr>
                <w:b w:val="0"/>
                <w:i w:val="0"/>
                <w:sz w:val="19"/>
              </w:rPr>
              <w:t>H</w:t>
            </w:r>
          </w:p>
        </w:tc>
        <w:tc>
          <w:tcPr>
            <w:tcW w:type="dxa" w:w="1644"/>
          </w:tcPr>
          <w:p>
            <w:r>
              <w:rPr>
                <w:b w:val="0"/>
                <w:i w:val="0"/>
                <w:sz w:val="19"/>
              </w:rPr>
              <w:t>Revenu artistique</w:t>
            </w:r>
          </w:p>
        </w:tc>
      </w:tr>
      <w:tr>
        <w:tc>
          <w:tcPr>
            <w:tcW w:type="dxa" w:w="1644"/>
          </w:tcPr>
          <w:p>
            <w:r>
              <w:rPr>
                <w:b/>
                <w:i w:val="0"/>
                <w:sz w:val="19"/>
              </w:rPr>
              <w:t>Œuvres pour la décoration</w:t>
            </w:r>
            <w:r>
              <w:rPr>
                <w:b w:val="0"/>
                <w:i w:val="0"/>
                <w:sz w:val="19"/>
              </w:rPr>
              <w:t xml:space="preserve"> (œuvres, entreprises)</w:t>
            </w:r>
          </w:p>
        </w:tc>
        <w:tc>
          <w:tcPr>
            <w:tcW w:type="dxa" w:w="1644"/>
          </w:tcPr>
          <w:p>
            <w:r>
              <w:rPr>
                <w:b w:val="0"/>
                <w:i w:val="0"/>
                <w:sz w:val="19"/>
              </w:rPr>
              <w:t>—</w:t>
            </w:r>
          </w:p>
        </w:tc>
        <w:tc>
          <w:tcPr>
            <w:tcW w:type="dxa" w:w="1644"/>
          </w:tcPr>
          <w:p>
            <w:r>
              <w:rPr>
                <w:b w:val="0"/>
                <w:i w:val="0"/>
                <w:sz w:val="19"/>
              </w:rPr>
              <w:t>Une agence qui décore des hôtels</w:t>
            </w:r>
          </w:p>
        </w:tc>
        <w:tc>
          <w:tcPr>
            <w:tcW w:type="dxa" w:w="1644"/>
          </w:tcPr>
          <w:p>
            <w:r>
              <w:rPr>
                <w:b w:val="0"/>
                <w:i w:val="0"/>
                <w:sz w:val="19"/>
              </w:rPr>
              <w:t>Hôtels</w:t>
            </w:r>
          </w:p>
        </w:tc>
        <w:tc>
          <w:tcPr>
            <w:tcW w:type="dxa" w:w="1644"/>
          </w:tcPr>
          <w:p>
            <w:r>
              <w:rPr>
                <w:b w:val="0"/>
                <w:i w:val="0"/>
                <w:sz w:val="19"/>
              </w:rPr>
              <w:t>H</w:t>
            </w:r>
          </w:p>
        </w:tc>
        <w:tc>
          <w:tcPr>
            <w:tcW w:type="dxa" w:w="1644"/>
          </w:tcPr>
          <w:p>
            <w:r>
              <w:rPr>
                <w:b w:val="0"/>
                <w:i w:val="0"/>
                <w:sz w:val="19"/>
              </w:rPr>
              <w:t>Revenu artistique</w:t>
            </w:r>
          </w:p>
        </w:tc>
      </w:tr>
      <w:tr>
        <w:tc>
          <w:tcPr>
            <w:tcW w:type="dxa" w:w="1644"/>
          </w:tcPr>
          <w:p>
            <w:r>
              <w:rPr>
                <w:b/>
                <w:i w:val="0"/>
                <w:sz w:val="19"/>
              </w:rPr>
              <w:t>Cours de sérigraphie</w:t>
            </w:r>
            <w:r>
              <w:rPr>
                <w:b w:val="0"/>
                <w:i w:val="0"/>
                <w:sz w:val="19"/>
              </w:rPr>
              <w:t xml:space="preserve"> (services, particuliers)</w:t>
            </w:r>
          </w:p>
        </w:tc>
        <w:tc>
          <w:tcPr>
            <w:tcW w:type="dxa" w:w="1644"/>
          </w:tcPr>
          <w:p>
            <w:r>
              <w:rPr>
                <w:b w:val="0"/>
                <w:i w:val="0"/>
                <w:sz w:val="19"/>
              </w:rPr>
              <w:t>—</w:t>
            </w:r>
          </w:p>
        </w:tc>
        <w:tc>
          <w:tcPr>
            <w:tcW w:type="dxa" w:w="1644"/>
          </w:tcPr>
          <w:p>
            <w:r>
              <w:rPr>
                <w:b w:val="0"/>
                <w:i w:val="0"/>
                <w:sz w:val="19"/>
              </w:rPr>
              <w:t>Un atelier de sérigraphie partagé, ouvert en collectif</w:t>
            </w:r>
          </w:p>
        </w:tc>
        <w:tc>
          <w:tcPr>
            <w:tcW w:type="dxa" w:w="1644"/>
          </w:tcPr>
          <w:p>
            <w:r>
              <w:rPr>
                <w:b w:val="0"/>
                <w:i w:val="0"/>
                <w:sz w:val="19"/>
              </w:rPr>
              <w:t>Particuliers</w:t>
            </w:r>
          </w:p>
        </w:tc>
        <w:tc>
          <w:tcPr>
            <w:tcW w:type="dxa" w:w="1644"/>
          </w:tcPr>
          <w:p>
            <w:r>
              <w:rPr>
                <w:b w:val="0"/>
                <w:i w:val="0"/>
                <w:sz w:val="19"/>
              </w:rPr>
              <w:t>V</w:t>
            </w:r>
          </w:p>
        </w:tc>
        <w:tc>
          <w:tcPr>
            <w:tcW w:type="dxa" w:w="1644"/>
          </w:tcPr>
          <w:p>
            <w:r>
              <w:rPr>
                <w:b w:val="0"/>
                <w:i w:val="0"/>
                <w:sz w:val="19"/>
              </w:rPr>
              <w:t>Revenu accessoire, ou salarié</w:t>
            </w:r>
          </w:p>
        </w:tc>
      </w:tr>
      <w:tr>
        <w:tc>
          <w:tcPr>
            <w:tcW w:type="dxa" w:w="1644"/>
          </w:tcPr>
          <w:p>
            <w:r>
              <w:rPr>
                <w:b/>
                <w:i w:val="0"/>
                <w:sz w:val="19"/>
              </w:rPr>
              <w:t>Le même atelier en team building</w:t>
            </w:r>
            <w:r>
              <w:rPr>
                <w:b w:val="0"/>
                <w:i w:val="0"/>
                <w:sz w:val="19"/>
              </w:rPr>
              <w:t xml:space="preserve"> (services, entreprises)</w:t>
            </w:r>
          </w:p>
        </w:tc>
        <w:tc>
          <w:tcPr>
            <w:tcW w:type="dxa" w:w="1644"/>
          </w:tcPr>
          <w:p>
            <w:r>
              <w:rPr>
                <w:b w:val="0"/>
                <w:i w:val="0"/>
                <w:sz w:val="19"/>
              </w:rPr>
              <w:t>—</w:t>
            </w:r>
          </w:p>
        </w:tc>
        <w:tc>
          <w:tcPr>
            <w:tcW w:type="dxa" w:w="1644"/>
          </w:tcPr>
          <w:p>
            <w:r>
              <w:rPr>
                <w:b w:val="0"/>
                <w:i w:val="0"/>
                <w:sz w:val="19"/>
              </w:rPr>
              <w:t>Une structure qui fait animer des ateliers en entreprise</w:t>
            </w:r>
          </w:p>
        </w:tc>
        <w:tc>
          <w:tcPr>
            <w:tcW w:type="dxa" w:w="1644"/>
          </w:tcPr>
          <w:p>
            <w:r>
              <w:rPr>
                <w:b w:val="0"/>
                <w:i w:val="0"/>
                <w:sz w:val="19"/>
              </w:rPr>
              <w:t>Entreprises</w:t>
            </w:r>
          </w:p>
        </w:tc>
        <w:tc>
          <w:tcPr>
            <w:tcW w:type="dxa" w:w="1644"/>
          </w:tcPr>
          <w:p>
            <w:r>
              <w:rPr>
                <w:b w:val="0"/>
                <w:i w:val="0"/>
                <w:sz w:val="19"/>
              </w:rPr>
              <w:t>H</w:t>
            </w:r>
          </w:p>
        </w:tc>
        <w:tc>
          <w:tcPr>
            <w:tcW w:type="dxa" w:w="1644"/>
          </w:tcPr>
          <w:p>
            <w:r>
              <w:rPr>
                <w:b w:val="0"/>
                <w:i w:val="0"/>
                <w:sz w:val="19"/>
              </w:rPr>
              <w:t>Revenu accessoire, ou salarié</w:t>
            </w:r>
          </w:p>
        </w:tc>
      </w:tr>
    </w:tbl>
    <w:p>
      <w:pPr>
        <w:spacing w:after="80"/>
      </w:pPr>
      <w:r>
        <w:rPr>
          <w:b w:val="0"/>
          <w:i/>
          <w:color w:val="555555"/>
          <w:sz w:val="17"/>
        </w:rPr>
        <w:t>Formats et prix n'étaient pas précisés dans l'exemple.</w:t>
      </w:r>
    </w:p>
    <w:p>
      <w:pPr>
        <w:spacing w:after="80"/>
      </w:pPr>
      <w:r>
        <w:rPr>
          <w:b/>
          <w:i w:val="0"/>
          <w:color w:val="14304F"/>
          <w:sz w:val="23"/>
        </w:rPr>
        <w:t>Le statut de chaque offre, à jour au 4 octobre 2026</w:t>
      </w:r>
    </w:p>
    <w:tbl>
      <w:tblPr>
        <w:tblStyle w:val="TableGrid"/>
        <w:tblW w:type="auto" w:w="0"/>
        <w:tblLook w:firstColumn="1" w:firstRow="1" w:lastColumn="0" w:lastRow="0" w:noHBand="0" w:noVBand="1" w:val="04A0"/>
      </w:tblPr>
      <w:tblGrid>
        <w:gridCol w:w="4933"/>
        <w:gridCol w:w="4933"/>
      </w:tblGrid>
      <w:tr>
        <w:tc>
          <w:tcPr>
            <w:tcW w:type="dxa" w:w="4933"/>
            <w:shd w:val="clear" w:color="auto" w:fill="e4eaf3"/>
          </w:tcPr>
          <w:p>
            <w:r>
              <w:rPr>
                <w:b/>
                <w:i w:val="0"/>
                <w:color w:val="14304F"/>
                <w:sz w:val="19"/>
              </w:rPr>
              <w:t>Statut</w:t>
            </w:r>
          </w:p>
        </w:tc>
        <w:tc>
          <w:tcPr>
            <w:tcW w:type="dxa" w:w="4933"/>
            <w:shd w:val="clear" w:color="auto" w:fill="e4eaf3"/>
          </w:tcPr>
          <w:p>
            <w:r>
              <w:rPr>
                <w:b/>
                <w:i w:val="0"/>
                <w:color w:val="14304F"/>
                <w:sz w:val="19"/>
              </w:rPr>
              <w:t>Ce qui en relève</w:t>
            </w:r>
          </w:p>
        </w:tc>
      </w:tr>
      <w:tr>
        <w:tc>
          <w:tcPr>
            <w:tcW w:type="dxa" w:w="4933"/>
            <w:shd w:val="clear" w:color="auto" w:fill="f3f4f7"/>
          </w:tcPr>
          <w:p>
            <w:r>
              <w:rPr>
                <w:b/>
                <w:i w:val="0"/>
                <w:sz w:val="19"/>
              </w:rPr>
              <w:t>Revenu artistique</w:t>
            </w:r>
          </w:p>
        </w:tc>
        <w:tc>
          <w:tcPr>
            <w:tcW w:type="dxa" w:w="4933"/>
          </w:tcPr>
          <w:p>
            <w:r>
              <w:rPr>
                <w:b w:val="0"/>
                <w:i w:val="0"/>
                <w:sz w:val="19"/>
              </w:rPr>
              <w:t>La vente de vos œuvres originales, celle des exemplaires dont vous assurez vous-même la reproduction ou la diffusion, vos droits d'auteur, vos bourses et résidences, la présentation publique de vos œuvres, et les rencontres et débats où vous présentez vos œuvres ou votre processus de création (code de la sécurité sociale, art. R382-1-1).</w:t>
            </w:r>
          </w:p>
        </w:tc>
      </w:tr>
      <w:tr>
        <w:tc>
          <w:tcPr>
            <w:tcW w:type="dxa" w:w="4933"/>
            <w:shd w:val="clear" w:color="auto" w:fill="f3f4f7"/>
          </w:tcPr>
          <w:p>
            <w:r>
              <w:rPr>
                <w:b/>
                <w:i w:val="0"/>
                <w:sz w:val="19"/>
              </w:rPr>
              <w:t>Revenu accessoire</w:t>
            </w:r>
          </w:p>
        </w:tc>
        <w:tc>
          <w:tcPr>
            <w:tcW w:type="dxa" w:w="4933"/>
          </w:tcPr>
          <w:p>
            <w:r>
              <w:rPr>
                <w:b w:val="0"/>
                <w:i w:val="0"/>
                <w:sz w:val="19"/>
              </w:rPr>
              <w:t>Les cours donnés dans votre atelier, les ateliers artistiques, la transmission de votre savoir à vos pairs, les rencontres et débats où vous ne présentez ni vos œuvres ni votre processus de création (art. R382-1-2, version en vigueur depuis le 27 septembre 2026). Ils s'ajoutent à vos revenus d'artiste-auteur dans la limite de 1 200 fois le Smic horaire (14 424 € en 2026, selon Service-public), si vous avez eu des revenus artistiques dans l'année ou l'une des deux précédentes. Au-delà, ils sont soumis dès le premier euro aux cotisations de droit commun.</w:t>
            </w:r>
          </w:p>
        </w:tc>
      </w:tr>
      <w:tr>
        <w:tc>
          <w:tcPr>
            <w:tcW w:type="dxa" w:w="4933"/>
            <w:shd w:val="clear" w:color="auto" w:fill="f3f4f7"/>
          </w:tcPr>
          <w:p>
            <w:r>
              <w:rPr>
                <w:b/>
                <w:i w:val="0"/>
                <w:sz w:val="19"/>
              </w:rPr>
              <w:t>Salarié</w:t>
            </w:r>
          </w:p>
        </w:tc>
        <w:tc>
          <w:tcPr>
            <w:tcW w:type="dxa" w:w="4933"/>
          </w:tcPr>
          <w:p>
            <w:r>
              <w:rPr>
                <w:b w:val="0"/>
                <w:i w:val="0"/>
                <w:sz w:val="19"/>
              </w:rPr>
              <w:t>Donnés comme salarié, ces cours relèvent du salariat.</w:t>
            </w:r>
          </w:p>
        </w:tc>
      </w:tr>
      <w:tr>
        <w:tc>
          <w:tcPr>
            <w:tcW w:type="dxa" w:w="4933"/>
            <w:shd w:val="clear" w:color="auto" w:fill="f3f4f7"/>
          </w:tcPr>
          <w:p>
            <w:r>
              <w:rPr>
                <w:b/>
                <w:i w:val="0"/>
                <w:sz w:val="19"/>
              </w:rPr>
              <w:t>Activité non artistique</w:t>
            </w:r>
          </w:p>
        </w:tc>
        <w:tc>
          <w:tcPr>
            <w:tcW w:type="dxa" w:w="4933"/>
          </w:tcPr>
          <w:p>
            <w:r>
              <w:rPr>
                <w:b w:val="0"/>
                <w:i w:val="0"/>
                <w:sz w:val="19"/>
              </w:rPr>
              <w:t>Une micro-entreprise peut s'ajouter pour une activité non artistique, jamais pour facturer vos œuvres.</w:t>
            </w:r>
          </w:p>
        </w:tc>
      </w:tr>
    </w:tbl>
    <w:p>
      <w:pPr>
        <w:spacing w:after="80"/>
      </w:pPr>
      <w:r>
        <w:rPr>
          <w:b/>
          <w:i w:val="0"/>
          <w:color w:val="14304F"/>
          <w:sz w:val="23"/>
        </w:rPr>
        <w:t>Vos offres</w:t>
      </w:r>
    </w:p>
    <w:tbl>
      <w:tblPr>
        <w:tblStyle w:val="TableGrid"/>
        <w:tblW w:type="auto" w:w="0"/>
        <w:tblLook w:firstColumn="1" w:firstRow="1" w:lastColumn="0" w:lastRow="0" w:noHBand="0" w:noVBand="1" w:val="04A0"/>
      </w:tblPr>
      <w:tblGrid>
        <w:gridCol w:w="1644"/>
        <w:gridCol w:w="1644"/>
        <w:gridCol w:w="1644"/>
        <w:gridCol w:w="1644"/>
        <w:gridCol w:w="1644"/>
        <w:gridCol w:w="1644"/>
      </w:tblGrid>
      <w:tr>
        <w:tc>
          <w:tcPr>
            <w:tcW w:type="dxa" w:w="1644"/>
            <w:shd w:val="clear" w:color="auto" w:fill="e4eaf3"/>
          </w:tcPr>
          <w:p>
            <w:r>
              <w:rPr>
                <w:b/>
                <w:i w:val="0"/>
                <w:color w:val="14304F"/>
                <w:sz w:val="19"/>
              </w:rPr>
              <w:t>Offre (case de la carte)</w:t>
            </w:r>
          </w:p>
        </w:tc>
        <w:tc>
          <w:tcPr>
            <w:tcW w:type="dxa" w:w="1644"/>
            <w:shd w:val="clear" w:color="auto" w:fill="e4eaf3"/>
          </w:tcPr>
          <w:p>
            <w:r>
              <w:rPr>
                <w:b/>
                <w:i w:val="0"/>
                <w:color w:val="14304F"/>
                <w:sz w:val="19"/>
              </w:rPr>
              <w:t>Format, prix</w:t>
            </w:r>
          </w:p>
        </w:tc>
        <w:tc>
          <w:tcPr>
            <w:tcW w:type="dxa" w:w="1644"/>
            <w:shd w:val="clear" w:color="auto" w:fill="e4eaf3"/>
          </w:tcPr>
          <w:p>
            <w:r>
              <w:rPr>
                <w:b/>
                <w:i w:val="0"/>
                <w:color w:val="14304F"/>
                <w:sz w:val="19"/>
              </w:rPr>
              <w:t>Circuit : où elle se vend</w:t>
            </w:r>
          </w:p>
        </w:tc>
        <w:tc>
          <w:tcPr>
            <w:tcW w:type="dxa" w:w="1644"/>
            <w:shd w:val="clear" w:color="auto" w:fill="e4eaf3"/>
          </w:tcPr>
          <w:p>
            <w:r>
              <w:rPr>
                <w:b/>
                <w:i w:val="0"/>
                <w:color w:val="14304F"/>
                <w:sz w:val="19"/>
              </w:rPr>
              <w:t>Cible précise</w:t>
            </w:r>
          </w:p>
        </w:tc>
        <w:tc>
          <w:tcPr>
            <w:tcW w:type="dxa" w:w="1644"/>
            <w:shd w:val="clear" w:color="auto" w:fill="e4eaf3"/>
          </w:tcPr>
          <w:p>
            <w:r>
              <w:rPr>
                <w:b/>
                <w:i w:val="0"/>
                <w:color w:val="14304F"/>
                <w:sz w:val="19"/>
              </w:rPr>
              <w:t>H/V</w:t>
            </w:r>
          </w:p>
        </w:tc>
        <w:tc>
          <w:tcPr>
            <w:tcW w:type="dxa" w:w="1644"/>
            <w:shd w:val="clear" w:color="auto" w:fill="e4eaf3"/>
          </w:tcPr>
          <w:p>
            <w:r>
              <w:rPr>
                <w:b/>
                <w:i w:val="0"/>
                <w:color w:val="14304F"/>
                <w:sz w:val="19"/>
              </w:rPr>
              <w:t>Statut (voir le tableau)</w:t>
            </w: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bl>
    <w:p>
      <w:pPr>
        <w:spacing w:before="280" w:after="120"/>
      </w:pPr>
      <w:r>
        <w:rPr>
          <w:b/>
          <w:color w:val="9A6420"/>
          <w:sz w:val="28"/>
        </w:rPr>
        <w:t xml:space="preserve">4  </w:t>
      </w:r>
      <w:r>
        <w:rPr>
          <w:rFonts w:ascii="Georgia" w:hAnsi="Georgia"/>
          <w:b/>
          <w:color w:val="14304F"/>
          <w:sz w:val="28"/>
        </w:rPr>
        <w:t>Passer une offre au test des quatre écueils</w:t>
      </w:r>
    </w:p>
    <w:p>
      <w:pPr>
        <w:spacing w:after="80"/>
      </w:pPr>
      <w:r>
        <w:rPr>
          <w:b w:val="0"/>
          <w:i w:val="0"/>
        </w:rPr>
        <w:t>Choisissez une offre de la carte, de préférence celle que vous voulez lancer, et répondez aux quatre questions.</w:t>
      </w:r>
    </w:p>
    <w:p>
      <w:pPr>
        <w:spacing w:after="80"/>
      </w:pPr>
      <w:r>
        <w:rPr>
          <w:b/>
          <w:i w:val="0"/>
        </w:rPr>
        <w:t>L'offre testée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tbl>
      <w:tblPr>
        <w:tblStyle w:val="TableGrid"/>
        <w:tblW w:type="auto" w:w="0"/>
        <w:tblLook w:firstColumn="1" w:firstRow="1" w:lastColumn="0" w:lastRow="0" w:noHBand="0" w:noVBand="1" w:val="04A0"/>
      </w:tblPr>
      <w:tblGrid>
        <w:gridCol w:w="4933"/>
        <w:gridCol w:w="4933"/>
      </w:tblGrid>
      <w:tr>
        <w:tc>
          <w:tcPr>
            <w:tcW w:type="dxa" w:w="4933"/>
          </w:tcPr>
          <w:p>
            <w:r>
              <w:rPr>
                <w:b/>
                <w:i w:val="0"/>
                <w:color w:val="14304F"/>
              </w:rPr>
              <w:t>1. Le temps de développement</w:t>
            </w:r>
          </w:p>
          <w:p>
            <w:r>
              <w:rPr>
                <w:b w:val="0"/>
                <w:i w:val="0"/>
                <w:sz w:val="19"/>
              </w:rPr>
              <w:t>Plus une offre s'éloigne de votre pratique, plus elle est longue à mettre en place, et plus le taux d'échec est grand. Combien de temps vous faudra-t-il ?</w:t>
            </w:r>
          </w:p>
          <w:p/>
          <w:p/>
          <w:p/>
        </w:tc>
        <w:tc>
          <w:tcPr>
            <w:tcW w:type="dxa" w:w="4933"/>
          </w:tcPr>
          <w:p>
            <w:r>
              <w:rPr>
                <w:b/>
                <w:i w:val="0"/>
                <w:color w:val="14304F"/>
              </w:rPr>
              <w:t>2. La profondeur de marché</w:t>
            </w:r>
          </w:p>
          <w:p>
            <w:r>
              <w:rPr>
                <w:b w:val="0"/>
                <w:i w:val="0"/>
                <w:sz w:val="19"/>
              </w:rPr>
              <w:t>Un portrait commandé ne suffit pas à ouvrir un service de commande : certaines opportunités n'ont pas de profondeur de marché. Assez de personnes vous demanderont-elles cette offre ? Peut-elle devenir récurrente ?</w:t>
            </w:r>
          </w:p>
          <w:p/>
          <w:p/>
          <w:p/>
        </w:tc>
      </w:tr>
      <w:tr>
        <w:tc>
          <w:tcPr>
            <w:tcW w:type="dxa" w:w="4933"/>
          </w:tcPr>
          <w:p>
            <w:r>
              <w:rPr>
                <w:b/>
                <w:i w:val="0"/>
                <w:color w:val="14304F"/>
              </w:rPr>
              <w:t>3. L'effet de convergence</w:t>
            </w:r>
          </w:p>
          <w:p>
            <w:r>
              <w:rPr>
                <w:b w:val="0"/>
                <w:i w:val="0"/>
                <w:sz w:val="19"/>
              </w:rPr>
              <w:t>Un élève peut vous acheter une œuvre ; l'acheteur d'une reproduction, un jour, un original. Vers quoi, dans votre travail, cette offre conduit-elle ?</w:t>
            </w:r>
          </w:p>
          <w:p/>
          <w:p/>
          <w:p/>
        </w:tc>
        <w:tc>
          <w:tcPr>
            <w:tcW w:type="dxa" w:w="4933"/>
          </w:tcPr>
          <w:p>
            <w:r>
              <w:rPr>
                <w:b/>
                <w:i w:val="0"/>
                <w:color w:val="14304F"/>
              </w:rPr>
              <w:t>4. Ne pas se diversifier</w:t>
            </w:r>
          </w:p>
          <w:p>
            <w:r>
              <w:rPr>
                <w:b w:val="0"/>
                <w:i w:val="0"/>
                <w:sz w:val="19"/>
              </w:rPr>
              <w:t>Renoncer est aussi un risque : quand vos revenus dépendent de peu de personnes, un départ suffit à les faire chuter. Sans cette offre, de qui dépendent-ils ?</w:t>
            </w:r>
          </w:p>
          <w:p/>
          <w:p/>
          <w:p/>
        </w:tc>
      </w:tr>
    </w:tbl>
    <w:p>
      <w:pPr>
        <w:spacing w:after="40"/>
      </w:pPr>
    </w:p>
    <w:p>
      <w:pPr>
        <w:spacing w:after="80"/>
      </w:pPr>
      <w:r>
        <w:rPr>
          <w:b/>
          <w:i w:val="0"/>
        </w:rPr>
        <w:t>Votre décision</w:t>
      </w:r>
    </w:p>
    <w:p>
      <w:pPr>
        <w:spacing w:after="40"/>
      </w:pPr>
      <w:r>
        <w:rPr>
          <w:b w:val="0"/>
          <w:i w:val="0"/>
        </w:rPr>
        <w:t>☐  Je lance cette offre, et j'y vais à fond.</w:t>
      </w:r>
    </w:p>
    <w:p>
      <w:pPr>
        <w:spacing w:after="40"/>
      </w:pPr>
      <w:r>
        <w:rPr>
          <w:b w:val="0"/>
          <w:i w:val="0"/>
        </w:rPr>
        <w:t>☐  Je la garde en réserve : elle n'a pas encore de profondeur de marché.</w:t>
      </w:r>
    </w:p>
    <w:p>
      <w:pPr>
        <w:spacing w:after="40"/>
      </w:pPr>
      <w:r>
        <w:rPr>
          <w:b w:val="0"/>
          <w:i w:val="0"/>
        </w:rPr>
        <w:t>☐  Je l'abandonne : elle m'éloigne de mon travail.</w:t>
      </w:r>
    </w:p>
    <w:p>
      <w:pPr>
        <w:spacing w:after="80"/>
      </w:pPr>
      <w:r>
        <w:rPr>
          <w:b w:val="0"/>
          <w:i w:val="0"/>
        </w:rPr>
        <w:t>Si vous la lancez, commencez simple : un format, une technique, puis ajoutez des briques une à une, selon les retours d'autres artistes ou de clients. Un système complexe qui fonctionne est toujours issu d'un système simple qui fonctionnait. Comptez un à trois ans quand vous vous lancez vraiment.</w:t>
      </w:r>
    </w:p>
    <w:p>
      <w:pPr>
        <w:spacing w:before="280" w:after="120"/>
      </w:pPr>
      <w:r>
        <w:rPr>
          <w:b/>
          <w:color w:val="9A6420"/>
          <w:sz w:val="28"/>
        </w:rPr>
        <w:t xml:space="preserve">5  </w:t>
      </w:r>
      <w:r>
        <w:rPr>
          <w:rFonts w:ascii="Georgia" w:hAnsi="Georgia"/>
          <w:b/>
          <w:color w:val="14304F"/>
          <w:sz w:val="28"/>
        </w:rPr>
        <w:t>Budgéter votre temps : la règle des trois tiers</w:t>
      </w:r>
    </w:p>
    <w:p>
      <w:pPr>
        <w:spacing w:after="80"/>
      </w:pPr>
      <w:r>
        <w:rPr>
          <w:b w:val="0"/>
          <w:i w:val="0"/>
        </w:rPr>
        <w:t>Un tiers pour la création, le reste pour la communication, la prospection et la gestion. Si vous gardez un tiers de votre temps pour créer et que vos activités convergent, vous entrez dans un cercle vertueux. Notez, pour une semaine type, le temps que chaque offre vous demande.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Offre ou activité</w:t>
            </w:r>
          </w:p>
        </w:tc>
        <w:tc>
          <w:tcPr>
            <w:tcW w:type="dxa" w:w="2466"/>
            <w:shd w:val="clear" w:color="auto" w:fill="e4eaf3"/>
          </w:tcPr>
          <w:p>
            <w:r>
              <w:rPr>
                <w:b/>
                <w:i w:val="0"/>
                <w:color w:val="14304F"/>
                <w:sz w:val="19"/>
              </w:rPr>
              <w:t>Création (heures)</w:t>
            </w:r>
          </w:p>
        </w:tc>
        <w:tc>
          <w:tcPr>
            <w:tcW w:type="dxa" w:w="2466"/>
            <w:shd w:val="clear" w:color="auto" w:fill="e4eaf3"/>
          </w:tcPr>
          <w:p>
            <w:r>
              <w:rPr>
                <w:b/>
                <w:i w:val="0"/>
                <w:color w:val="14304F"/>
                <w:sz w:val="19"/>
              </w:rPr>
              <w:t>Communication, prospection, gestion (heures)</w:t>
            </w:r>
          </w:p>
        </w:tc>
        <w:tc>
          <w:tcPr>
            <w:tcW w:type="dxa" w:w="2466"/>
            <w:shd w:val="clear" w:color="auto" w:fill="e4eaf3"/>
          </w:tcPr>
          <w:p>
            <w:r>
              <w:rPr>
                <w:b/>
                <w:i w:val="0"/>
                <w:color w:val="14304F"/>
                <w:sz w:val="19"/>
              </w:rPr>
              <w:t>Total (heures)</w:t>
            </w:r>
          </w:p>
        </w:tc>
      </w:tr>
      <w:tr>
        <w:tc>
          <w:tcPr>
            <w:tcW w:type="dxa" w:w="2466"/>
          </w:tcPr>
          <w:p/>
        </w:tc>
        <w:tc>
          <w:tcPr>
            <w:tcW w:type="dxa" w:w="2466"/>
          </w:tcPr>
          <w:p/>
        </w:tc>
        <w:tc>
          <w:tcPr>
            <w:tcW w:type="dxa" w:w="2466"/>
          </w:tcPr>
          <w:p/>
        </w:tc>
        <w:tc>
          <w:tcPr>
            <w:tcW w:type="dxa" w:w="2466"/>
          </w:tcPr>
          <w:p/>
        </w:tc>
      </w:tr>
      <w:tr>
        <w:tc>
          <w:tcPr>
            <w:tcW w:type="dxa" w:w="2466"/>
          </w:tcPr>
          <w:p/>
        </w:tc>
        <w:tc>
          <w:tcPr>
            <w:tcW w:type="dxa" w:w="2466"/>
          </w:tcPr>
          <w:p/>
        </w:tc>
        <w:tc>
          <w:tcPr>
            <w:tcW w:type="dxa" w:w="2466"/>
          </w:tcPr>
          <w:p/>
        </w:tc>
        <w:tc>
          <w:tcPr>
            <w:tcW w:type="dxa" w:w="2466"/>
          </w:tcPr>
          <w:p/>
        </w:tc>
      </w:tr>
      <w:tr>
        <w:tc>
          <w:tcPr>
            <w:tcW w:type="dxa" w:w="2466"/>
          </w:tcPr>
          <w:p/>
        </w:tc>
        <w:tc>
          <w:tcPr>
            <w:tcW w:type="dxa" w:w="2466"/>
          </w:tcPr>
          <w:p/>
        </w:tc>
        <w:tc>
          <w:tcPr>
            <w:tcW w:type="dxa" w:w="2466"/>
          </w:tcPr>
          <w:p/>
        </w:tc>
        <w:tc>
          <w:tcPr>
            <w:tcW w:type="dxa" w:w="2466"/>
          </w:tcPr>
          <w:p/>
        </w:tc>
      </w:tr>
      <w:tr>
        <w:tc>
          <w:tcPr>
            <w:tcW w:type="dxa" w:w="2466"/>
          </w:tcPr>
          <w:p/>
        </w:tc>
        <w:tc>
          <w:tcPr>
            <w:tcW w:type="dxa" w:w="2466"/>
          </w:tcPr>
          <w:p/>
        </w:tc>
        <w:tc>
          <w:tcPr>
            <w:tcW w:type="dxa" w:w="2466"/>
          </w:tcPr>
          <w:p/>
        </w:tc>
        <w:tc>
          <w:tcPr>
            <w:tcW w:type="dxa" w:w="2466"/>
          </w:tcPr>
          <w:p/>
        </w:tc>
      </w:tr>
    </w:tbl>
    <w:tbl>
      <w:tblPr>
        <w:tblStyle w:val="TableGrid"/>
        <w:tblW w:type="auto" w:w="0"/>
        <w:tblLook w:firstColumn="1" w:firstRow="1" w:lastColumn="0" w:lastRow="0" w:noHBand="0" w:noVBand="1" w:val="04A0"/>
      </w:tblPr>
      <w:tblGrid>
        <w:gridCol w:w="9866"/>
      </w:tblGrid>
      <w:tr>
        <w:tc>
          <w:tcPr>
            <w:tcW w:type="dxa" w:w="9866"/>
            <w:shd w:val="clear" w:color="auto" w:fill="fbfbfd"/>
          </w:tcPr>
          <w:p>
            <w:r>
              <w:rPr>
                <w:b/>
                <w:i w:val="0"/>
                <w:color w:val="14304F"/>
                <w:sz w:val="22"/>
              </w:rPr>
              <w:t>Le bilan de votre semaine type</w:t>
            </w:r>
          </w:p>
          <w:p>
            <w:r>
              <w:rPr>
                <w:b w:val="0"/>
                <w:i w:val="0"/>
              </w:rPr>
              <w:t xml:space="preserve">Temps de création : </w:t>
            </w:r>
            <w:r>
              <w:rPr>
                <w:b/>
                <w:color w:val="9A6420"/>
              </w:rPr>
              <w:t>[___ h]</w:t>
            </w:r>
            <w:r>
              <w:rPr>
                <w:b w:val="0"/>
                <w:i w:val="0"/>
              </w:rPr>
              <w:t xml:space="preserve"> ÷ temps total : </w:t>
            </w:r>
            <w:r>
              <w:rPr>
                <w:b/>
                <w:color w:val="9A6420"/>
              </w:rPr>
              <w:t>[___ h]</w:t>
            </w:r>
            <w:r>
              <w:rPr>
                <w:b w:val="0"/>
                <w:i w:val="0"/>
              </w:rPr>
              <w:t xml:space="preserve"> = </w:t>
            </w:r>
            <w:r>
              <w:rPr>
                <w:b/>
                <w:color w:val="9A6420"/>
              </w:rPr>
              <w:t>[___ %]</w:t>
            </w:r>
            <w:r>
              <w:rPr>
                <w:b w:val="0"/>
                <w:i w:val="0"/>
              </w:rPr>
              <w:t xml:space="preserve"> : visez un tiers.</w:t>
            </w:r>
          </w:p>
          <w:p>
            <w:r>
              <w:rPr>
                <w:b w:val="0"/>
                <w:i w:val="0"/>
              </w:rPr>
              <w:t xml:space="preserve">Temps donné gratuitement à des projets collectifs : </w:t>
            </w:r>
            <w:r>
              <w:rPr>
                <w:b/>
                <w:color w:val="9A6420"/>
              </w:rPr>
              <w:t>[___ h]</w:t>
            </w:r>
            <w:r>
              <w:rPr>
                <w:b w:val="0"/>
                <w:i w:val="0"/>
              </w:rPr>
              <w:t xml:space="preserve"> ÷ temps total : </w:t>
            </w:r>
            <w:r>
              <w:rPr>
                <w:b/>
                <w:color w:val="9A6420"/>
              </w:rPr>
              <w:t>[___ h]</w:t>
            </w:r>
            <w:r>
              <w:rPr>
                <w:b w:val="0"/>
                <w:i w:val="0"/>
              </w:rPr>
              <w:t xml:space="preserve"> = </w:t>
            </w:r>
            <w:r>
              <w:rPr>
                <w:b/>
                <w:color w:val="9A6420"/>
              </w:rPr>
              <w:t>[___ %]</w:t>
            </w:r>
            <w:r>
              <w:rPr>
                <w:b w:val="0"/>
                <w:i w:val="0"/>
              </w:rPr>
              <w:t xml:space="preserve"> : pas plus de 15 %.</w:t>
            </w:r>
          </w:p>
          <w:p>
            <w:r>
              <w:rPr>
                <w:b w:val="0"/>
                <w:i w:val="0"/>
              </w:rPr>
              <w:t xml:space="preserve">Si la création passe sous le tiers, quelle offre allégez-vous, ou reportez-vous ? </w:t>
            </w:r>
            <w:r>
              <w:rPr>
                <w:b/>
                <w:color w:val="9A6420"/>
              </w:rPr>
              <w:t>[_______________]</w:t>
            </w:r>
          </w:p>
        </w:tc>
      </w:tr>
    </w:tbl>
    <w:p>
      <w:pPr>
        <w:spacing w:after="40"/>
      </w:pPr>
    </w:p>
    <w:p>
      <w:pPr>
        <w:spacing w:after="80"/>
      </w:pPr>
      <w:r>
        <w:rPr>
          <w:b w:val="0"/>
          <w:i w:val="0"/>
        </w:rPr>
        <w:t>Pour suivre vos heures semaine après semaine, voyez la fiche n° 15, « Gérer son temps ».</w:t>
      </w:r>
    </w:p>
    <w:p>
      <w:pPr>
        <w:spacing w:after="80"/>
      </w:pPr>
      <w:r>
        <w:rPr>
          <w:b w:val="0"/>
          <w:i w:val="0"/>
          <w:color w:val="555555"/>
          <w:sz w:val="19"/>
        </w:rPr>
        <w:t>Le compte rendu complet du webinaire : lacondamine.org/ressources-artistes/articles/vivre-de-son-art/</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16, d'après les webinaires de Pierre-Benoit Roux du 22 avril et du 28 décembre 2021.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Cartographier ses offres : diversifier sans se disperser</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