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rPr>
          <w:b/>
          <w:i w:val="0"/>
          <w:color w:val="9A6420"/>
          <w:sz w:val="18"/>
        </w:rPr>
        <w:t>Fiche pratique n° 14 · Financer et candidater</w:t>
      </w:r>
    </w:p>
    <w:p>
      <w:r>
        <w:rPr>
          <w:rFonts w:ascii="Georgia" w:hAnsi="Georgia"/>
          <w:b/>
          <w:color w:val="14304F"/>
          <w:sz w:val="44"/>
        </w:rPr>
        <w:t>Appel à projets : lire, décider, constituer son dossier</w:t>
      </w:r>
    </w:p>
    <w:p>
      <w:pPr>
        <w:spacing w:after="80"/>
      </w:pPr>
      <w:r>
        <w:rPr>
          <w:b w:val="0"/>
          <w:i w:val="0"/>
          <w:color w:val="444444"/>
          <w:sz w:val="22"/>
        </w:rPr>
        <w:t>On perd souvent son temps sur des appels mal choisis, ou sur des dossiers qui ne parlent pas la langue de celui qui les publie. Cette fiche se remplit pour un appel réel, son texte sous les yeux : lisez-le, décidez, puis préparez votre dossier en remontant depuis la date limite. Elle prolonge le compte rendu « Répondre à un appel à projets : choisir, lire, constituer son dossier ».</w:t>
      </w:r>
    </w:p>
    <w:p>
      <w:pPr>
        <w:spacing w:before="280" w:after="120"/>
      </w:pPr>
      <w:r>
        <w:rPr>
          <w:b/>
          <w:color w:val="9A6420"/>
          <w:sz w:val="28"/>
        </w:rPr>
        <w:t xml:space="preserve">1  </w:t>
      </w:r>
      <w:r>
        <w:rPr>
          <w:rFonts w:ascii="Georgia" w:hAnsi="Georgia"/>
          <w:b/>
          <w:color w:val="14304F"/>
          <w:sz w:val="28"/>
        </w:rPr>
        <w:t>Lire l'appel : qui le publie, et pour quoi</w:t>
      </w:r>
    </w:p>
    <w:p>
      <w:pPr>
        <w:spacing w:after="80"/>
      </w:pPr>
      <w:r>
        <w:rPr>
          <w:b w:val="0"/>
          <w:i w:val="0"/>
        </w:rPr>
        <w:t>Un appel culturel public sert une politique : on ne vous demande pas de proposer votre art, mais de montrer comment, avec lui, vous y répondez. Lisez l'appel en entier, surlignez ses mots, puis notez ce qu'il dit.</w:t>
      </w:r>
    </w:p>
    <w:tbl>
      <w:tblPr>
        <w:tblStyle w:val="TableGrid"/>
        <w:tblW w:type="auto" w:w="0"/>
        <w:tblLook w:firstColumn="1" w:firstRow="1" w:lastColumn="0" w:lastRow="0" w:noHBand="0" w:noVBand="1" w:val="04A0"/>
      </w:tblPr>
      <w:tblGrid>
        <w:gridCol w:w="4933"/>
        <w:gridCol w:w="4933"/>
      </w:tblGrid>
      <w:tr>
        <w:tc>
          <w:tcPr>
            <w:tcW w:type="dxa" w:w="4933"/>
            <w:shd w:val="clear" w:color="auto" w:fill="e4eaf3"/>
          </w:tcPr>
          <w:p>
            <w:r>
              <w:rPr>
                <w:b/>
                <w:i w:val="0"/>
                <w:color w:val="14304F"/>
                <w:sz w:val="19"/>
              </w:rPr>
              <w:t>À repérer</w:t>
            </w:r>
          </w:p>
        </w:tc>
        <w:tc>
          <w:tcPr>
            <w:tcW w:type="dxa" w:w="4933"/>
            <w:shd w:val="clear" w:color="auto" w:fill="e4eaf3"/>
          </w:tcPr>
          <w:p>
            <w:r>
              <w:rPr>
                <w:b/>
                <w:i w:val="0"/>
                <w:color w:val="14304F"/>
                <w:sz w:val="19"/>
              </w:rPr>
              <w:t>Ce que dit l'appel …………………………………</w:t>
            </w:r>
          </w:p>
        </w:tc>
      </w:tr>
      <w:tr>
        <w:tc>
          <w:tcPr>
            <w:tcW w:type="dxa" w:w="4933"/>
            <w:shd w:val="clear" w:color="auto" w:fill="f3f4f7"/>
          </w:tcPr>
          <w:p>
            <w:r>
              <w:rPr>
                <w:b/>
                <w:i w:val="0"/>
                <w:sz w:val="19"/>
              </w:rPr>
              <w:t>Porteur</w:t>
            </w:r>
            <w:r>
              <w:rPr>
                <w:b/>
                <w:i w:val="0"/>
                <w:sz w:val="19"/>
              </w:rPr>
              <w:t xml:space="preserve"> · Qui publie ? D'où ? Comment l'avez-vous su ?</w:t>
            </w:r>
          </w:p>
        </w:tc>
        <w:tc>
          <w:tcPr>
            <w:tcW w:type="dxa" w:w="4933"/>
          </w:tcPr>
          <w:p/>
        </w:tc>
      </w:tr>
      <w:tr>
        <w:tc>
          <w:tcPr>
            <w:tcW w:type="dxa" w:w="4933"/>
            <w:shd w:val="clear" w:color="auto" w:fill="f3f4f7"/>
          </w:tcPr>
          <w:p>
            <w:r>
              <w:rPr>
                <w:b/>
                <w:i w:val="0"/>
                <w:sz w:val="19"/>
              </w:rPr>
              <w:t>Pour qui, pourquoi</w:t>
            </w:r>
            <w:r>
              <w:rPr>
                <w:b/>
                <w:i w:val="0"/>
                <w:sz w:val="19"/>
              </w:rPr>
              <w:t xml:space="preserve"> · Quel public ? Quelle priorité : création, médiation, territoire ?</w:t>
            </w:r>
          </w:p>
        </w:tc>
        <w:tc>
          <w:tcPr>
            <w:tcW w:type="dxa" w:w="4933"/>
          </w:tcPr>
          <w:p/>
        </w:tc>
      </w:tr>
      <w:tr>
        <w:tc>
          <w:tcPr>
            <w:tcW w:type="dxa" w:w="4933"/>
            <w:shd w:val="clear" w:color="auto" w:fill="f3f4f7"/>
          </w:tcPr>
          <w:p>
            <w:r>
              <w:rPr>
                <w:b/>
                <w:i w:val="0"/>
                <w:sz w:val="19"/>
              </w:rPr>
              <w:t>Financeurs</w:t>
            </w:r>
            <w:r>
              <w:rPr>
                <w:b/>
                <w:i w:val="0"/>
                <w:sz w:val="19"/>
              </w:rPr>
              <w:t xml:space="preserve"> · Quels logos ? À quelle échelle se joue l'appel ?</w:t>
            </w:r>
          </w:p>
        </w:tc>
        <w:tc>
          <w:tcPr>
            <w:tcW w:type="dxa" w:w="4933"/>
          </w:tcPr>
          <w:p/>
        </w:tc>
      </w:tr>
      <w:tr>
        <w:tc>
          <w:tcPr>
            <w:tcW w:type="dxa" w:w="4933"/>
            <w:shd w:val="clear" w:color="auto" w:fill="f3f4f7"/>
          </w:tcPr>
          <w:p>
            <w:r>
              <w:rPr>
                <w:b/>
                <w:i w:val="0"/>
                <w:sz w:val="19"/>
              </w:rPr>
              <w:t>Type</w:t>
            </w:r>
            <w:r>
              <w:rPr>
                <w:b/>
                <w:i w:val="0"/>
                <w:sz w:val="19"/>
              </w:rPr>
              <w:t xml:space="preserve"> · Appel à candidatures (sur ce que vous avez fait) ou à projets (un projet à concevoir) ? Résidence, bourse, exposition, prix, commande, marché public ?</w:t>
            </w:r>
          </w:p>
        </w:tc>
        <w:tc>
          <w:tcPr>
            <w:tcW w:type="dxa" w:w="4933"/>
          </w:tcPr>
          <w:p/>
        </w:tc>
      </w:tr>
      <w:tr>
        <w:tc>
          <w:tcPr>
            <w:tcW w:type="dxa" w:w="4933"/>
            <w:shd w:val="clear" w:color="auto" w:fill="f3f4f7"/>
          </w:tcPr>
          <w:p>
            <w:r>
              <w:rPr>
                <w:b/>
                <w:i w:val="0"/>
                <w:sz w:val="19"/>
              </w:rPr>
              <w:t>Objet</w:t>
            </w:r>
            <w:r>
              <w:rPr>
                <w:b/>
                <w:i w:val="0"/>
                <w:sz w:val="19"/>
              </w:rPr>
              <w:t xml:space="preserve"> · Ce qui est attendu : thème, lieu, matériaux, dimensions, atelier avec le public ?</w:t>
            </w:r>
          </w:p>
        </w:tc>
        <w:tc>
          <w:tcPr>
            <w:tcW w:type="dxa" w:w="4933"/>
          </w:tcPr>
          <w:p/>
        </w:tc>
      </w:tr>
      <w:tr>
        <w:tc>
          <w:tcPr>
            <w:tcW w:type="dxa" w:w="4933"/>
            <w:shd w:val="clear" w:color="auto" w:fill="f3f4f7"/>
          </w:tcPr>
          <w:p>
            <w:r>
              <w:rPr>
                <w:b/>
                <w:i w:val="0"/>
                <w:sz w:val="19"/>
              </w:rPr>
              <w:t>Éligibilité</w:t>
            </w:r>
            <w:r>
              <w:rPr>
                <w:b/>
                <w:i w:val="0"/>
                <w:sz w:val="19"/>
              </w:rPr>
              <w:t xml:space="preserve"> · Statut, SIRET, lieu de résidence, parcours, aide ou refus récents ? Hors des cases, le dossier n'est pas lu.</w:t>
            </w:r>
          </w:p>
        </w:tc>
        <w:tc>
          <w:tcPr>
            <w:tcW w:type="dxa" w:w="4933"/>
          </w:tcPr>
          <w:p/>
        </w:tc>
      </w:tr>
      <w:tr>
        <w:tc>
          <w:tcPr>
            <w:tcW w:type="dxa" w:w="4933"/>
            <w:shd w:val="clear" w:color="auto" w:fill="f3f4f7"/>
          </w:tcPr>
          <w:p>
            <w:r>
              <w:rPr>
                <w:b/>
                <w:i w:val="0"/>
                <w:sz w:val="19"/>
              </w:rPr>
              <w:t>Critères d'analyse</w:t>
            </w:r>
            <w:r>
              <w:rPr>
                <w:b/>
                <w:i w:val="0"/>
                <w:sz w:val="19"/>
              </w:rPr>
              <w:t xml:space="preserve"> · Sur quoi le jury jugera-t-il ?</w:t>
            </w:r>
          </w:p>
        </w:tc>
        <w:tc>
          <w:tcPr>
            <w:tcW w:type="dxa" w:w="4933"/>
          </w:tcPr>
          <w:p/>
        </w:tc>
      </w:tr>
      <w:tr>
        <w:tc>
          <w:tcPr>
            <w:tcW w:type="dxa" w:w="4933"/>
            <w:shd w:val="clear" w:color="auto" w:fill="f3f4f7"/>
          </w:tcPr>
          <w:p>
            <w:r>
              <w:rPr>
                <w:b/>
                <w:i w:val="0"/>
                <w:sz w:val="19"/>
              </w:rPr>
              <w:t>Jury et lauréats</w:t>
            </w:r>
            <w:r>
              <w:rPr>
                <w:b/>
                <w:i w:val="0"/>
                <w:sz w:val="19"/>
              </w:rPr>
              <w:t xml:space="preserve"> · Qui siège ? Qui a été retenu les années précédentes ?</w:t>
            </w:r>
          </w:p>
        </w:tc>
        <w:tc>
          <w:tcPr>
            <w:tcW w:type="dxa" w:w="4933"/>
          </w:tcPr>
          <w:p/>
        </w:tc>
      </w:tr>
      <w:tr>
        <w:tc>
          <w:tcPr>
            <w:tcW w:type="dxa" w:w="4933"/>
            <w:shd w:val="clear" w:color="auto" w:fill="f3f4f7"/>
          </w:tcPr>
          <w:p>
            <w:r>
              <w:rPr>
                <w:b/>
                <w:i w:val="0"/>
                <w:sz w:val="19"/>
              </w:rPr>
              <w:t>Enveloppe</w:t>
            </w:r>
            <w:r>
              <w:rPr>
                <w:b/>
                <w:i w:val="0"/>
                <w:sz w:val="19"/>
              </w:rPr>
              <w:t xml:space="preserve"> · Combien ? Que couvre-t-elle : honoraires, matériel, déplacements, hébergement ? Un cofinancement est-il attendu ?</w:t>
            </w:r>
          </w:p>
        </w:tc>
        <w:tc>
          <w:tcPr>
            <w:tcW w:type="dxa" w:w="4933"/>
          </w:tcPr>
          <w:p/>
        </w:tc>
      </w:tr>
      <w:tr>
        <w:tc>
          <w:tcPr>
            <w:tcW w:type="dxa" w:w="4933"/>
            <w:shd w:val="clear" w:color="auto" w:fill="f3f4f7"/>
          </w:tcPr>
          <w:p>
            <w:r>
              <w:rPr>
                <w:b/>
                <w:i w:val="0"/>
                <w:sz w:val="19"/>
              </w:rPr>
              <w:t>Calendrier</w:t>
            </w:r>
            <w:r>
              <w:rPr>
                <w:b/>
                <w:i w:val="0"/>
                <w:sz w:val="19"/>
              </w:rPr>
              <w:t xml:space="preserve"> · Date et heure limites, mode d'envoi, questions-réponses, résultats, réalisation ?</w:t>
            </w:r>
          </w:p>
        </w:tc>
        <w:tc>
          <w:tcPr>
            <w:tcW w:type="dxa" w:w="4933"/>
          </w:tcPr>
          <w:p/>
        </w:tc>
      </w:tr>
      <w:tr>
        <w:tc>
          <w:tcPr>
            <w:tcW w:type="dxa" w:w="4933"/>
            <w:shd w:val="clear" w:color="auto" w:fill="f3f4f7"/>
          </w:tcPr>
          <w:p>
            <w:r>
              <w:rPr>
                <w:b/>
                <w:i w:val="0"/>
                <w:sz w:val="19"/>
              </w:rPr>
              <w:t>Pièces</w:t>
            </w:r>
            <w:r>
              <w:rPr>
                <w:b/>
                <w:i w:val="0"/>
                <w:sz w:val="19"/>
              </w:rPr>
              <w:t xml:space="preserve"> · Lesquelles ? Format, nombre de pages ?</w:t>
            </w:r>
          </w:p>
        </w:tc>
        <w:tc>
          <w:tcPr>
            <w:tcW w:type="dxa" w:w="4933"/>
          </w:tcPr>
          <w:p/>
        </w:tc>
      </w:tr>
      <w:tr>
        <w:tc>
          <w:tcPr>
            <w:tcW w:type="dxa" w:w="4933"/>
            <w:shd w:val="clear" w:color="auto" w:fill="f3f4f7"/>
          </w:tcPr>
          <w:p>
            <w:r>
              <w:rPr>
                <w:b/>
                <w:i w:val="0"/>
                <w:sz w:val="19"/>
              </w:rPr>
              <w:t>Mots de l'appel</w:t>
            </w:r>
            <w:r>
              <w:rPr>
                <w:b/>
                <w:i w:val="0"/>
                <w:sz w:val="19"/>
              </w:rPr>
              <w:t xml:space="preserve"> · Ceux du porteur et de ses financeurs (co-construit, territoire, parcours…) : vous les reprendrez.</w:t>
            </w:r>
          </w:p>
        </w:tc>
        <w:tc>
          <w:tcPr>
            <w:tcW w:type="dxa" w:w="4933"/>
          </w:tcPr>
          <w:p/>
        </w:tc>
      </w:tr>
      <w:tr>
        <w:tc>
          <w:tcPr>
            <w:tcW w:type="dxa" w:w="4933"/>
            <w:shd w:val="clear" w:color="auto" w:fill="f3f4f7"/>
          </w:tcPr>
          <w:p>
            <w:r>
              <w:rPr>
                <w:b/>
                <w:i w:val="0"/>
                <w:sz w:val="19"/>
              </w:rPr>
              <w:t>Contact</w:t>
            </w:r>
            <w:r>
              <w:rPr>
                <w:b/>
                <w:i w:val="0"/>
                <w:sz w:val="19"/>
              </w:rPr>
              <w:t xml:space="preserve"> · Qui ? Mail, téléphone ? Quelles questions lui poser ?</w:t>
            </w:r>
          </w:p>
        </w:tc>
        <w:tc>
          <w:tcPr>
            <w:tcW w:type="dxa" w:w="4933"/>
          </w:tcPr>
          <w:p/>
        </w:tc>
      </w:tr>
      <w:tr>
        <w:tc>
          <w:tcPr>
            <w:tcW w:type="dxa" w:w="4933"/>
            <w:shd w:val="clear" w:color="auto" w:fill="f3f4f7"/>
          </w:tcPr>
          <w:p>
            <w:r>
              <w:rPr>
                <w:b/>
                <w:i w:val="0"/>
                <w:sz w:val="19"/>
              </w:rPr>
              <w:t>Récurrence</w:t>
            </w:r>
            <w:r>
              <w:rPr>
                <w:b/>
                <w:i w:val="0"/>
                <w:sz w:val="19"/>
              </w:rPr>
              <w:t xml:space="preserve"> · Chaque année, tous les deux ans, une seule fois ?</w:t>
            </w:r>
          </w:p>
        </w:tc>
        <w:tc>
          <w:tcPr>
            <w:tcW w:type="dxa" w:w="4933"/>
          </w:tcPr>
          <w:p/>
        </w:tc>
      </w:tr>
    </w:tbl>
    <w:p>
      <w:pPr>
        <w:spacing w:before="280" w:after="120"/>
      </w:pPr>
      <w:r>
        <w:rPr>
          <w:b/>
          <w:color w:val="9A6420"/>
          <w:sz w:val="28"/>
        </w:rPr>
        <w:t xml:space="preserve">2  </w:t>
      </w:r>
      <w:r>
        <w:rPr>
          <w:rFonts w:ascii="Georgia" w:hAnsi="Georgia"/>
          <w:b/>
          <w:color w:val="14304F"/>
          <w:sz w:val="28"/>
        </w:rPr>
        <w:t>Décider : y aller, ou passer votre tour</w:t>
      </w:r>
    </w:p>
    <w:p>
      <w:pPr>
        <w:spacing w:after="80"/>
      </w:pPr>
      <w:r>
        <w:rPr>
          <w:b w:val="0"/>
          <w:i w:val="0"/>
        </w:rPr>
        <w:t>Moins, c'est plus : retenez une quinzaine d'appels dans l'année, et candidatez plusieurs fois aux mêmes. Répondez par oui, non ou « ? », en quelques mots ; un oui vous est favorable. Un non à l'éligibilité suffit : passez votre tour.</w:t>
      </w:r>
    </w:p>
    <w:tbl>
      <w:tblPr>
        <w:tblStyle w:val="TableGrid"/>
        <w:tblW w:type="auto" w:w="0"/>
        <w:tblLook w:firstColumn="1" w:firstRow="1" w:lastColumn="0" w:lastRow="0" w:noHBand="0" w:noVBand="1" w:val="04A0"/>
      </w:tblPr>
      <w:tblGrid>
        <w:gridCol w:w="3289"/>
        <w:gridCol w:w="3289"/>
        <w:gridCol w:w="3289"/>
      </w:tblGrid>
      <w:tr>
        <w:tc>
          <w:tcPr>
            <w:tcW w:type="dxa" w:w="3289"/>
            <w:shd w:val="clear" w:color="auto" w:fill="e4eaf3"/>
          </w:tcPr>
          <w:p>
            <w:r>
              <w:rPr>
                <w:b/>
                <w:i w:val="0"/>
                <w:color w:val="14304F"/>
                <w:sz w:val="19"/>
              </w:rPr>
              <w:t>Cohérence avec votre démarche et votre trajectoire</w:t>
            </w:r>
          </w:p>
        </w:tc>
        <w:tc>
          <w:tcPr>
            <w:tcW w:type="dxa" w:w="3289"/>
            <w:shd w:val="clear" w:color="auto" w:fill="e4eaf3"/>
          </w:tcPr>
          <w:p>
            <w:r>
              <w:rPr>
                <w:b/>
                <w:i w:val="0"/>
                <w:color w:val="14304F"/>
                <w:sz w:val="19"/>
              </w:rPr>
              <w:t>Oui, non, ?</w:t>
            </w:r>
          </w:p>
        </w:tc>
        <w:tc>
          <w:tcPr>
            <w:tcW w:type="dxa" w:w="3289"/>
            <w:shd w:val="clear" w:color="auto" w:fill="e4eaf3"/>
          </w:tcPr>
          <w:p>
            <w:r>
              <w:rPr>
                <w:b/>
                <w:i w:val="0"/>
                <w:color w:val="14304F"/>
                <w:sz w:val="19"/>
              </w:rPr>
              <w:t>En quelques mots …………………</w:t>
            </w:r>
          </w:p>
        </w:tc>
      </w:tr>
      <w:tr>
        <w:tc>
          <w:tcPr>
            <w:tcW w:type="dxa" w:w="3289"/>
            <w:shd w:val="clear" w:color="auto" w:fill="f3f4f7"/>
          </w:tcPr>
          <w:p>
            <w:r>
              <w:rPr>
                <w:b/>
                <w:i w:val="0"/>
                <w:sz w:val="19"/>
              </w:rPr>
              <w:t>Éligibilité</w:t>
            </w:r>
            <w:r>
              <w:rPr>
                <w:b/>
                <w:i w:val="0"/>
                <w:sz w:val="19"/>
              </w:rPr>
              <w:t xml:space="preserve"> · Je coche toutes les cases administratives.</w:t>
            </w:r>
          </w:p>
        </w:tc>
        <w:tc>
          <w:tcPr>
            <w:tcW w:type="dxa" w:w="3289"/>
          </w:tcPr>
          <w:p/>
        </w:tc>
        <w:tc>
          <w:tcPr>
            <w:tcW w:type="dxa" w:w="3289"/>
          </w:tcPr>
          <w:p/>
        </w:tc>
      </w:tr>
      <w:tr>
        <w:tc>
          <w:tcPr>
            <w:tcW w:type="dxa" w:w="3289"/>
            <w:shd w:val="clear" w:color="auto" w:fill="f3f4f7"/>
          </w:tcPr>
          <w:p>
            <w:r>
              <w:rPr>
                <w:b/>
                <w:i w:val="0"/>
                <w:sz w:val="19"/>
              </w:rPr>
              <w:t>Strate</w:t>
            </w:r>
            <w:r>
              <w:rPr>
                <w:b/>
                <w:i w:val="0"/>
                <w:sz w:val="19"/>
              </w:rPr>
              <w:t xml:space="preserve"> · L'appel est à mon échelle (pairs, local, régional, national). Les trajectoires vont presque toujours du local au national.</w:t>
            </w:r>
          </w:p>
        </w:tc>
        <w:tc>
          <w:tcPr>
            <w:tcW w:type="dxa" w:w="3289"/>
          </w:tcPr>
          <w:p/>
        </w:tc>
        <w:tc>
          <w:tcPr>
            <w:tcW w:type="dxa" w:w="3289"/>
          </w:tcPr>
          <w:p/>
        </w:tc>
      </w:tr>
      <w:tr>
        <w:tc>
          <w:tcPr>
            <w:tcW w:type="dxa" w:w="3289"/>
            <w:shd w:val="clear" w:color="auto" w:fill="f3f4f7"/>
          </w:tcPr>
          <w:p>
            <w:r>
              <w:rPr>
                <w:b/>
                <w:i w:val="0"/>
                <w:sz w:val="19"/>
              </w:rPr>
              <w:t>Champ</w:t>
            </w:r>
            <w:r>
              <w:rPr>
                <w:b/>
                <w:i w:val="0"/>
                <w:sz w:val="19"/>
              </w:rPr>
              <w:t xml:space="preserve"> · Mon travail relève du champ visé (art moderne, art contemporain, design, métiers d'art).</w:t>
            </w:r>
          </w:p>
        </w:tc>
        <w:tc>
          <w:tcPr>
            <w:tcW w:type="dxa" w:w="3289"/>
          </w:tcPr>
          <w:p/>
        </w:tc>
        <w:tc>
          <w:tcPr>
            <w:tcW w:type="dxa" w:w="3289"/>
          </w:tcPr>
          <w:p/>
        </w:tc>
      </w:tr>
      <w:tr>
        <w:tc>
          <w:tcPr>
            <w:tcW w:type="dxa" w:w="3289"/>
            <w:shd w:val="clear" w:color="auto" w:fill="f3f4f7"/>
          </w:tcPr>
          <w:p>
            <w:r>
              <w:rPr>
                <w:b/>
                <w:i w:val="0"/>
                <w:sz w:val="19"/>
              </w:rPr>
              <w:t>Thème</w:t>
            </w:r>
            <w:r>
              <w:rPr>
                <w:b/>
                <w:i w:val="0"/>
                <w:sz w:val="19"/>
              </w:rPr>
              <w:t xml:space="preserve"> · Mes thèmes et mes séries répondent au thème de l'appel, sans forcer.</w:t>
            </w:r>
          </w:p>
        </w:tc>
        <w:tc>
          <w:tcPr>
            <w:tcW w:type="dxa" w:w="3289"/>
          </w:tcPr>
          <w:p/>
        </w:tc>
        <w:tc>
          <w:tcPr>
            <w:tcW w:type="dxa" w:w="3289"/>
          </w:tcPr>
          <w:p/>
        </w:tc>
      </w:tr>
      <w:tr>
        <w:tc>
          <w:tcPr>
            <w:tcW w:type="dxa" w:w="3289"/>
            <w:shd w:val="clear" w:color="auto" w:fill="f3f4f7"/>
          </w:tcPr>
          <w:p>
            <w:r>
              <w:rPr>
                <w:b/>
                <w:i w:val="0"/>
                <w:sz w:val="19"/>
              </w:rPr>
              <w:t>Format</w:t>
            </w:r>
            <w:r>
              <w:rPr>
                <w:b/>
                <w:i w:val="0"/>
                <w:sz w:val="19"/>
              </w:rPr>
              <w:t xml:space="preserve"> · Je peux faire ce qui est demandé : taille des œuvres, commande, atelier avec le public.</w:t>
            </w:r>
          </w:p>
        </w:tc>
        <w:tc>
          <w:tcPr>
            <w:tcW w:type="dxa" w:w="3289"/>
          </w:tcPr>
          <w:p/>
        </w:tc>
        <w:tc>
          <w:tcPr>
            <w:tcW w:type="dxa" w:w="3289"/>
          </w:tcPr>
          <w:p/>
        </w:tc>
      </w:tr>
      <w:tr>
        <w:tc>
          <w:tcPr>
            <w:tcW w:type="dxa" w:w="3289"/>
            <w:shd w:val="clear" w:color="auto" w:fill="f3f4f7"/>
          </w:tcPr>
          <w:p>
            <w:r>
              <w:rPr>
                <w:b/>
                <w:i w:val="0"/>
                <w:sz w:val="19"/>
              </w:rPr>
              <w:t>Apport</w:t>
            </w:r>
            <w:r>
              <w:rPr>
                <w:b/>
                <w:i w:val="0"/>
                <w:sz w:val="19"/>
              </w:rPr>
              <w:t xml:space="preserve"> · Il m'apporte quelque chose de précis (une ligne de CV, un réseau, une production, de l'argent), et peut en ouvrir un autre.</w:t>
            </w:r>
          </w:p>
        </w:tc>
        <w:tc>
          <w:tcPr>
            <w:tcW w:type="dxa" w:w="3289"/>
          </w:tcPr>
          <w:p/>
        </w:tc>
        <w:tc>
          <w:tcPr>
            <w:tcW w:type="dxa" w:w="3289"/>
          </w:tcPr>
          <w:p/>
        </w:tc>
      </w:tr>
    </w:tbl>
    <w:tbl>
      <w:tblPr>
        <w:tblStyle w:val="TableGrid"/>
        <w:tblW w:type="auto" w:w="0"/>
        <w:tblLook w:firstColumn="1" w:firstRow="1" w:lastColumn="0" w:lastRow="0" w:noHBand="0" w:noVBand="1" w:val="04A0"/>
      </w:tblPr>
      <w:tblGrid>
        <w:gridCol w:w="3289"/>
        <w:gridCol w:w="3289"/>
        <w:gridCol w:w="3289"/>
      </w:tblGrid>
      <w:tr>
        <w:tc>
          <w:tcPr>
            <w:tcW w:type="dxa" w:w="3289"/>
            <w:shd w:val="clear" w:color="auto" w:fill="e4eaf3"/>
          </w:tcPr>
          <w:p>
            <w:r>
              <w:rPr>
                <w:b/>
                <w:i w:val="0"/>
                <w:color w:val="14304F"/>
                <w:sz w:val="19"/>
              </w:rPr>
              <w:t>Vos chances</w:t>
            </w:r>
          </w:p>
        </w:tc>
        <w:tc>
          <w:tcPr>
            <w:tcW w:type="dxa" w:w="3289"/>
            <w:shd w:val="clear" w:color="auto" w:fill="e4eaf3"/>
          </w:tcPr>
          <w:p>
            <w:r>
              <w:rPr>
                <w:b/>
                <w:i w:val="0"/>
                <w:color w:val="14304F"/>
                <w:sz w:val="19"/>
              </w:rPr>
              <w:t>Oui, non, ?</w:t>
            </w:r>
          </w:p>
        </w:tc>
        <w:tc>
          <w:tcPr>
            <w:tcW w:type="dxa" w:w="3289"/>
            <w:shd w:val="clear" w:color="auto" w:fill="e4eaf3"/>
          </w:tcPr>
          <w:p>
            <w:r>
              <w:rPr>
                <w:b/>
                <w:i w:val="0"/>
                <w:color w:val="14304F"/>
                <w:sz w:val="19"/>
              </w:rPr>
              <w:t>En quelques mots …………………</w:t>
            </w:r>
          </w:p>
        </w:tc>
      </w:tr>
      <w:tr>
        <w:tc>
          <w:tcPr>
            <w:tcW w:type="dxa" w:w="3289"/>
            <w:shd w:val="clear" w:color="auto" w:fill="f3f4f7"/>
          </w:tcPr>
          <w:p>
            <w:r>
              <w:rPr>
                <w:b/>
                <w:i w:val="0"/>
                <w:sz w:val="19"/>
              </w:rPr>
              <w:t>Concurrence</w:t>
            </w:r>
            <w:r>
              <w:rPr>
                <w:b/>
                <w:i w:val="0"/>
                <w:sz w:val="19"/>
              </w:rPr>
              <w:t xml:space="preserve"> · L'appel est peu en vue : les bourses les plus visibles sont les plus demandées.</w:t>
            </w:r>
          </w:p>
        </w:tc>
        <w:tc>
          <w:tcPr>
            <w:tcW w:type="dxa" w:w="3289"/>
          </w:tcPr>
          <w:p/>
        </w:tc>
        <w:tc>
          <w:tcPr>
            <w:tcW w:type="dxa" w:w="3289"/>
          </w:tcPr>
          <w:p/>
        </w:tc>
      </w:tr>
      <w:tr>
        <w:tc>
          <w:tcPr>
            <w:tcW w:type="dxa" w:w="3289"/>
            <w:shd w:val="clear" w:color="auto" w:fill="f3f4f7"/>
          </w:tcPr>
          <w:p>
            <w:r>
              <w:rPr>
                <w:b/>
                <w:i w:val="0"/>
                <w:sz w:val="19"/>
              </w:rPr>
              <w:t>Lauréats</w:t>
            </w:r>
            <w:r>
              <w:rPr>
                <w:b/>
                <w:i w:val="0"/>
                <w:sz w:val="19"/>
              </w:rPr>
              <w:t xml:space="preserve"> · Ceux des années précédentes ont un parcours proche du mien.</w:t>
            </w:r>
          </w:p>
        </w:tc>
        <w:tc>
          <w:tcPr>
            <w:tcW w:type="dxa" w:w="3289"/>
          </w:tcPr>
          <w:p/>
        </w:tc>
        <w:tc>
          <w:tcPr>
            <w:tcW w:type="dxa" w:w="3289"/>
          </w:tcPr>
          <w:p/>
        </w:tc>
      </w:tr>
      <w:tr>
        <w:tc>
          <w:tcPr>
            <w:tcW w:type="dxa" w:w="3289"/>
            <w:shd w:val="clear" w:color="auto" w:fill="f3f4f7"/>
          </w:tcPr>
          <w:p>
            <w:r>
              <w:rPr>
                <w:b/>
                <w:i w:val="0"/>
                <w:sz w:val="19"/>
              </w:rPr>
              <w:t>Relations</w:t>
            </w:r>
            <w:r>
              <w:rPr>
                <w:b/>
                <w:i w:val="0"/>
                <w:sz w:val="19"/>
              </w:rPr>
              <w:t xml:space="preserve"> · Le porteur ou des partenaires de son territoire me connaissent, ou je peux les appeler.</w:t>
            </w:r>
          </w:p>
        </w:tc>
        <w:tc>
          <w:tcPr>
            <w:tcW w:type="dxa" w:w="3289"/>
          </w:tcPr>
          <w:p/>
        </w:tc>
        <w:tc>
          <w:tcPr>
            <w:tcW w:type="dxa" w:w="3289"/>
          </w:tcPr>
          <w:p/>
        </w:tc>
      </w:tr>
    </w:tbl>
    <w:tbl>
      <w:tblPr>
        <w:tblStyle w:val="TableGrid"/>
        <w:tblW w:type="auto" w:w="0"/>
        <w:tblLook w:firstColumn="1" w:firstRow="1" w:lastColumn="0" w:lastRow="0" w:noHBand="0" w:noVBand="1" w:val="04A0"/>
      </w:tblPr>
      <w:tblGrid>
        <w:gridCol w:w="3289"/>
        <w:gridCol w:w="3289"/>
        <w:gridCol w:w="3289"/>
      </w:tblGrid>
      <w:tr>
        <w:tc>
          <w:tcPr>
            <w:tcW w:type="dxa" w:w="3289"/>
            <w:shd w:val="clear" w:color="auto" w:fill="e4eaf3"/>
          </w:tcPr>
          <w:p>
            <w:r>
              <w:rPr>
                <w:b/>
                <w:i w:val="0"/>
                <w:color w:val="14304F"/>
                <w:sz w:val="19"/>
              </w:rPr>
              <w:t>Ce que cela vous coûte</w:t>
            </w:r>
          </w:p>
        </w:tc>
        <w:tc>
          <w:tcPr>
            <w:tcW w:type="dxa" w:w="3289"/>
            <w:shd w:val="clear" w:color="auto" w:fill="e4eaf3"/>
          </w:tcPr>
          <w:p>
            <w:r>
              <w:rPr>
                <w:b/>
                <w:i w:val="0"/>
                <w:color w:val="14304F"/>
                <w:sz w:val="19"/>
              </w:rPr>
              <w:t>Oui, non, ?</w:t>
            </w:r>
          </w:p>
        </w:tc>
        <w:tc>
          <w:tcPr>
            <w:tcW w:type="dxa" w:w="3289"/>
            <w:shd w:val="clear" w:color="auto" w:fill="e4eaf3"/>
          </w:tcPr>
          <w:p>
            <w:r>
              <w:rPr>
                <w:b/>
                <w:i w:val="0"/>
                <w:color w:val="14304F"/>
                <w:sz w:val="19"/>
              </w:rPr>
              <w:t>En quelques mots …………………</w:t>
            </w:r>
          </w:p>
        </w:tc>
      </w:tr>
      <w:tr>
        <w:tc>
          <w:tcPr>
            <w:tcW w:type="dxa" w:w="3289"/>
            <w:shd w:val="clear" w:color="auto" w:fill="f3f4f7"/>
          </w:tcPr>
          <w:p>
            <w:r>
              <w:rPr>
                <w:b/>
                <w:i w:val="0"/>
                <w:sz w:val="19"/>
              </w:rPr>
              <w:t>Contraintes</w:t>
            </w:r>
            <w:r>
              <w:rPr>
                <w:b/>
                <w:i w:val="0"/>
                <w:sz w:val="19"/>
              </w:rPr>
              <w:t xml:space="preserve"> · Durée d'absence, enfants, autre métier : c'est compatible. Une « scène émergente » ne vise pas en fait les jeunes diplômés.</w:t>
            </w:r>
          </w:p>
        </w:tc>
        <w:tc>
          <w:tcPr>
            <w:tcW w:type="dxa" w:w="3289"/>
          </w:tcPr>
          <w:p/>
        </w:tc>
        <w:tc>
          <w:tcPr>
            <w:tcW w:type="dxa" w:w="3289"/>
          </w:tcPr>
          <w:p/>
        </w:tc>
      </w:tr>
      <w:tr>
        <w:tc>
          <w:tcPr>
            <w:tcW w:type="dxa" w:w="3289"/>
            <w:shd w:val="clear" w:color="auto" w:fill="f3f4f7"/>
          </w:tcPr>
          <w:p>
            <w:r>
              <w:rPr>
                <w:b/>
                <w:i w:val="0"/>
                <w:sz w:val="19"/>
              </w:rPr>
              <w:t>Enveloppe</w:t>
            </w:r>
            <w:r>
              <w:rPr>
                <w:b/>
                <w:i w:val="0"/>
                <w:sz w:val="19"/>
              </w:rPr>
              <w:t xml:space="preserve"> · Elle couvre mes frais et ma rémunération.</w:t>
            </w:r>
          </w:p>
        </w:tc>
        <w:tc>
          <w:tcPr>
            <w:tcW w:type="dxa" w:w="3289"/>
          </w:tcPr>
          <w:p/>
        </w:tc>
        <w:tc>
          <w:tcPr>
            <w:tcW w:type="dxa" w:w="3289"/>
          </w:tcPr>
          <w:p/>
        </w:tc>
      </w:tr>
      <w:tr>
        <w:tc>
          <w:tcPr>
            <w:tcW w:type="dxa" w:w="3289"/>
            <w:shd w:val="clear" w:color="auto" w:fill="f3f4f7"/>
          </w:tcPr>
          <w:p>
            <w:r>
              <w:rPr>
                <w:b/>
                <w:i w:val="0"/>
                <w:sz w:val="19"/>
              </w:rPr>
              <w:t>Temps</w:t>
            </w:r>
            <w:r>
              <w:rPr>
                <w:b/>
                <w:i w:val="0"/>
                <w:sz w:val="19"/>
              </w:rPr>
              <w:t xml:space="preserve"> · Jours de travail estimés : …… Jours disponibles avant la date limite : …… Mon dossier type couvre l'essentiel.</w:t>
            </w:r>
          </w:p>
        </w:tc>
        <w:tc>
          <w:tcPr>
            <w:tcW w:type="dxa" w:w="3289"/>
          </w:tcPr>
          <w:p/>
        </w:tc>
        <w:tc>
          <w:tcPr>
            <w:tcW w:type="dxa" w:w="3289"/>
          </w:tcPr>
          <w:p/>
        </w:tc>
      </w:tr>
    </w:tbl>
    <w:p>
      <w:pPr>
        <w:spacing w:after="80"/>
      </w:pPr>
      <w:r>
        <w:rPr>
          <w:b w:val="0"/>
          <w:i/>
          <w:color w:val="555555"/>
          <w:sz w:val="17"/>
        </w:rPr>
        <w:t>Un cas particulier, le témoignage d'une photographe en 2022 : son rythme à elle était d'une quinzaine de candidatures en six mois, pour un ou deux résultats dans l'année ; la règle reste une quinzaine d'appels par an. Évitez les quatre-vingts dossiers : c'est le plus sûr moyen de se décourager.</w:t>
      </w:r>
    </w:p>
    <w:p>
      <w:pPr>
        <w:spacing w:after="80"/>
      </w:pPr>
      <w:r>
        <w:rPr>
          <w:b/>
          <w:i w:val="0"/>
        </w:rPr>
        <w:t>Votre décision</w:t>
      </w:r>
    </w:p>
    <w:p>
      <w:pPr>
        <w:spacing w:after="40"/>
      </w:pPr>
      <w:r>
        <w:rPr>
          <w:b w:val="0"/>
          <w:i w:val="0"/>
        </w:rPr>
        <w:t>☐  J'y vais : je remplis la check-list et le rétroplanning.</w:t>
      </w:r>
    </w:p>
    <w:p>
      <w:pPr>
        <w:spacing w:after="40"/>
      </w:pPr>
      <w:r>
        <w:rPr>
          <w:b w:val="0"/>
          <w:i w:val="0"/>
        </w:rPr>
        <w:t>☐  Pas cette année : je note la prochaine édition. La plupart des appels reviennent ; pensez vos candidatures sur deux ans.</w:t>
      </w:r>
    </w:p>
    <w:p>
      <w:pPr>
        <w:spacing w:after="40"/>
      </w:pPr>
      <w:r>
        <w:rPr>
          <w:b w:val="0"/>
          <w:i w:val="0"/>
        </w:rPr>
        <w:t>☐  Pas pour moi : je note pourquoi, pour mieux choisir les suivants.</w:t>
      </w:r>
    </w:p>
    <w:p>
      <w:pPr>
        <w:spacing w:before="280" w:after="120"/>
      </w:pPr>
      <w:r>
        <w:rPr>
          <w:b/>
          <w:color w:val="9A6420"/>
          <w:sz w:val="28"/>
        </w:rPr>
        <w:t xml:space="preserve">3  </w:t>
      </w:r>
      <w:r>
        <w:rPr>
          <w:rFonts w:ascii="Georgia" w:hAnsi="Georgia"/>
          <w:b/>
          <w:color w:val="14304F"/>
          <w:sz w:val="28"/>
        </w:rPr>
        <w:t>Constituer le dossier : la check-list</w:t>
      </w:r>
    </w:p>
    <w:p>
      <w:pPr>
        <w:spacing w:after="80"/>
      </w:pPr>
      <w:r>
        <w:rPr>
          <w:b w:val="0"/>
          <w:i w:val="0"/>
        </w:rPr>
        <w:t>Préparez une fois un dossier type, puis adaptez-le à chaque appel : prenez trois appels qui vous parlent et cherchez ce qu'ils demandent tous. Les textes se travaillent avec les fiches n° 1 (la démarche) et n° 4 (la base de textes).</w:t>
      </w:r>
    </w:p>
    <w:p>
      <w:pPr>
        <w:spacing w:after="80"/>
      </w:pPr>
      <w:r>
        <w:rPr>
          <w:b/>
          <w:i w:val="0"/>
        </w:rPr>
        <w:t>Le kit, toujours prêt</w:t>
      </w:r>
    </w:p>
    <w:p>
      <w:pPr>
        <w:spacing w:after="40"/>
      </w:pPr>
      <w:r>
        <w:rPr>
          <w:b w:val="0"/>
          <w:i w:val="0"/>
        </w:rPr>
        <w:t>☐  Un CV artistique, adapté à cet appel : un CV par appel (fiche n° 4).</w:t>
      </w:r>
    </w:p>
    <w:p>
      <w:pPr>
        <w:spacing w:after="40"/>
      </w:pPr>
      <w:r>
        <w:rPr>
          <w:b w:val="0"/>
          <w:i w:val="0"/>
        </w:rPr>
        <w:t>☐  Une note d'une page au plus : ce que la bourse, la résidence ou la commande vous permettrait.</w:t>
      </w:r>
    </w:p>
    <w:p>
      <w:pPr>
        <w:spacing w:after="40"/>
      </w:pPr>
      <w:r>
        <w:rPr>
          <w:b w:val="0"/>
          <w:i w:val="0"/>
        </w:rPr>
        <w:t>☐  L'attestation d'affiliation à la sécurité sociale des artistes-auteurs.</w:t>
      </w:r>
    </w:p>
    <w:p>
      <w:pPr>
        <w:spacing w:after="40"/>
      </w:pPr>
      <w:r>
        <w:rPr>
          <w:b w:val="0"/>
          <w:i w:val="0"/>
        </w:rPr>
        <w:t>☐  Un avis de situation au répertoire Sirene de moins de trois mois.</w:t>
      </w:r>
    </w:p>
    <w:p>
      <w:pPr>
        <w:spacing w:after="40"/>
      </w:pPr>
      <w:r>
        <w:rPr>
          <w:b w:val="0"/>
          <w:i w:val="0"/>
        </w:rPr>
        <w:t>☐  Votre dernier avis d'impôt sur le revenu.</w:t>
      </w:r>
    </w:p>
    <w:p>
      <w:pPr>
        <w:spacing w:after="40"/>
      </w:pPr>
      <w:r>
        <w:rPr>
          <w:b w:val="0"/>
          <w:i w:val="0"/>
        </w:rPr>
        <w:t>☐  Une pièce d'identité en cours de validité.</w:t>
      </w:r>
    </w:p>
    <w:p>
      <w:pPr>
        <w:spacing w:after="80"/>
      </w:pPr>
      <w:r>
        <w:rPr>
          <w:b/>
          <w:i w:val="0"/>
        </w:rPr>
        <w:t>Ce que les appels demandent presque tous</w:t>
      </w:r>
    </w:p>
    <w:p>
      <w:pPr>
        <w:spacing w:after="40"/>
      </w:pPr>
      <w:r>
        <w:rPr>
          <w:b w:val="0"/>
          <w:i w:val="0"/>
        </w:rPr>
        <w:t>☐  Une courte présentation de vous ou de votre structure (biographie : fiche n° 4), une démarche brève (fiche n° 1), votre numéro SIRET.</w:t>
      </w:r>
    </w:p>
    <w:p>
      <w:pPr>
        <w:spacing w:after="40"/>
      </w:pPr>
      <w:r>
        <w:rPr>
          <w:b w:val="0"/>
          <w:i w:val="0"/>
        </w:rPr>
        <w:t>☐  Le projet : un titre, une formule, quelques lignes d'explication, puis les étapes.</w:t>
      </w:r>
    </w:p>
    <w:p>
      <w:pPr>
        <w:spacing w:after="40"/>
      </w:pPr>
      <w:r>
        <w:rPr>
          <w:b w:val="0"/>
          <w:i w:val="0"/>
        </w:rPr>
        <w:t>☐  Un budget prévisionnel détaillé, à l'équilibre (trame en fin de fiche).</w:t>
      </w:r>
    </w:p>
    <w:p>
      <w:pPr>
        <w:spacing w:after="40"/>
      </w:pPr>
      <w:r>
        <w:rPr>
          <w:b w:val="0"/>
          <w:i w:val="0"/>
        </w:rPr>
        <w:t>☐  Le calendrier et la méthode des rencontres avec le public ; un atelier de médiation type : son objectif, ses étapes, ce qu'il apporte au public.</w:t>
      </w:r>
    </w:p>
    <w:p>
      <w:pPr>
        <w:spacing w:after="40"/>
      </w:pPr>
      <w:r>
        <w:rPr>
          <w:b w:val="0"/>
          <w:i w:val="0"/>
        </w:rPr>
        <w:t>☐  Vos références (pour une association, son bilan d'activité) et quelques images de vos œuvres.</w:t>
      </w:r>
    </w:p>
    <w:p>
      <w:pPr>
        <w:spacing w:after="40"/>
      </w:pPr>
      <w:r>
        <w:rPr>
          <w:b w:val="0"/>
          <w:i w:val="0"/>
        </w:rPr>
        <w:t>☐  Les pièces propres à l'appel : lettre d'intention, esquisses, lettres de soutien…</w:t>
      </w:r>
    </w:p>
    <w:p>
      <w:pPr>
        <w:spacing w:after="80"/>
      </w:pPr>
      <w:r>
        <w:rPr>
          <w:b/>
          <w:i w:val="0"/>
        </w:rPr>
        <w:t>Un marché public, comme le 1 % artistique</w:t>
      </w:r>
    </w:p>
    <w:p>
      <w:pPr>
        <w:spacing w:after="40"/>
      </w:pPr>
      <w:r>
        <w:rPr>
          <w:b w:val="0"/>
          <w:i w:val="0"/>
        </w:rPr>
        <w:t>☐  Les formulaires DC1 et DC2, ou le document unique de marché européen (DUME) ; le DC4 si vous déclarez un sous-traitant.</w:t>
      </w:r>
    </w:p>
    <w:p>
      <w:pPr>
        <w:spacing w:after="40"/>
      </w:pPr>
      <w:r>
        <w:rPr>
          <w:b w:val="0"/>
          <w:i w:val="0"/>
        </w:rPr>
        <w:t>☐  À jour de vos obligations fiscales et sociales, artiste-auteur avec un SIRET, ou en réponse avec une structure (collectif, galerie, association).</w:t>
      </w:r>
    </w:p>
    <w:p>
      <w:pPr>
        <w:spacing w:after="40"/>
      </w:pPr>
      <w:r>
        <w:rPr>
          <w:b w:val="0"/>
          <w:i w:val="0"/>
        </w:rPr>
        <w:t>☐  Au premier tour, pas de croquis : parlez du commanditaire plutôt que de vous, et montrez que vous avez compris les enjeux (matériaux, emplacement, thème).</w:t>
      </w:r>
    </w:p>
    <w:p>
      <w:pPr>
        <w:spacing w:after="80"/>
      </w:pPr>
      <w:r>
        <w:rPr>
          <w:b/>
          <w:i w:val="0"/>
        </w:rPr>
        <w:t>Avant d'envoyer</w:t>
      </w:r>
    </w:p>
    <w:p>
      <w:pPr>
        <w:spacing w:after="40"/>
      </w:pPr>
      <w:r>
        <w:rPr>
          <w:b w:val="0"/>
          <w:i w:val="0"/>
        </w:rPr>
        <w:t>☐  Les mots de l'appel sont repris, jusque dans mes titres.</w:t>
      </w:r>
    </w:p>
    <w:p>
      <w:pPr>
        <w:spacing w:after="40"/>
      </w:pPr>
      <w:r>
        <w:rPr>
          <w:b w:val="0"/>
          <w:i w:val="0"/>
        </w:rPr>
        <w:t>☐  La première page, la dernière et un peu le milieu disent l'essentiel en trente secondes.</w:t>
      </w:r>
    </w:p>
    <w:p>
      <w:pPr>
        <w:spacing w:after="40"/>
      </w:pPr>
      <w:r>
        <w:rPr>
          <w:b w:val="0"/>
          <w:i w:val="0"/>
        </w:rPr>
        <w:t>☐  Du gras sur l'important, de l'air : la mise en page compte autant que le contenu.</w:t>
      </w:r>
    </w:p>
    <w:p>
      <w:pPr>
        <w:spacing w:after="40"/>
      </w:pPr>
      <w:r>
        <w:rPr>
          <w:b w:val="0"/>
          <w:i w:val="0"/>
        </w:rPr>
        <w:t>☐  Chaque pièce demandée est là, au bon format.</w:t>
      </w:r>
    </w:p>
    <w:p>
      <w:r>
        <w:br w:type="page"/>
      </w:r>
    </w:p>
    <w:p>
      <w:pPr>
        <w:spacing w:before="280" w:after="120"/>
      </w:pPr>
      <w:r>
        <w:rPr>
          <w:b/>
          <w:color w:val="9A6420"/>
          <w:sz w:val="28"/>
        </w:rPr>
        <w:t xml:space="preserve">4  </w:t>
      </w:r>
      <w:r>
        <w:rPr>
          <w:rFonts w:ascii="Georgia" w:hAnsi="Georgia"/>
          <w:b/>
          <w:color w:val="14304F"/>
          <w:sz w:val="28"/>
        </w:rPr>
        <w:t>Le rétroplanning, à partir de la date limite</w:t>
      </w:r>
    </w:p>
    <w:p>
      <w:pPr>
        <w:spacing w:after="80"/>
      </w:pPr>
      <w:r>
        <w:rPr>
          <w:b w:val="0"/>
          <w:i w:val="0"/>
        </w:rPr>
        <w:t>Inscrivez la date limite (J), puis remontez : votre réponse est prête quinze jours avant (repère du webinaire).</w:t>
      </w:r>
    </w:p>
    <w:tbl>
      <w:tblPr>
        <w:tblStyle w:val="TableGrid"/>
        <w:tblW w:type="auto" w:w="0"/>
        <w:tblLook w:firstColumn="1" w:firstRow="1" w:lastColumn="0" w:lastRow="0" w:noHBand="0" w:noVBand="1" w:val="04A0"/>
      </w:tblPr>
      <w:tblGrid>
        <w:gridCol w:w="2466"/>
        <w:gridCol w:w="2466"/>
        <w:gridCol w:w="2466"/>
        <w:gridCol w:w="2466"/>
      </w:tblGrid>
      <w:tr>
        <w:tc>
          <w:tcPr>
            <w:tcW w:type="dxa" w:w="2466"/>
            <w:shd w:val="clear" w:color="auto" w:fill="e4eaf3"/>
          </w:tcPr>
          <w:p>
            <w:r>
              <w:rPr>
                <w:b/>
                <w:i w:val="0"/>
                <w:color w:val="14304F"/>
                <w:sz w:val="19"/>
              </w:rPr>
              <w:t>Étape</w:t>
            </w:r>
          </w:p>
        </w:tc>
        <w:tc>
          <w:tcPr>
            <w:tcW w:type="dxa" w:w="2466"/>
            <w:shd w:val="clear" w:color="auto" w:fill="e4eaf3"/>
          </w:tcPr>
          <w:p>
            <w:r>
              <w:rPr>
                <w:b/>
                <w:i w:val="0"/>
                <w:color w:val="14304F"/>
                <w:sz w:val="19"/>
              </w:rPr>
              <w:t>Repère</w:t>
            </w:r>
          </w:p>
        </w:tc>
        <w:tc>
          <w:tcPr>
            <w:tcW w:type="dxa" w:w="2466"/>
            <w:shd w:val="clear" w:color="auto" w:fill="e4eaf3"/>
          </w:tcPr>
          <w:p>
            <w:r>
              <w:rPr>
                <w:b/>
                <w:i w:val="0"/>
                <w:color w:val="14304F"/>
                <w:sz w:val="19"/>
              </w:rPr>
              <w:t>Date prévue ……</w:t>
            </w:r>
          </w:p>
        </w:tc>
        <w:tc>
          <w:tcPr>
            <w:tcW w:type="dxa" w:w="2466"/>
            <w:shd w:val="clear" w:color="auto" w:fill="e4eaf3"/>
          </w:tcPr>
          <w:p>
            <w:r>
              <w:rPr>
                <w:b/>
                <w:i w:val="0"/>
                <w:color w:val="14304F"/>
                <w:sz w:val="19"/>
              </w:rPr>
              <w:t>Fait</w:t>
            </w:r>
          </w:p>
        </w:tc>
      </w:tr>
      <w:tr>
        <w:tc>
          <w:tcPr>
            <w:tcW w:type="dxa" w:w="2466"/>
            <w:shd w:val="clear" w:color="auto" w:fill="f3f4f7"/>
          </w:tcPr>
          <w:p>
            <w:r>
              <w:rPr>
                <w:b/>
                <w:i w:val="0"/>
                <w:sz w:val="19"/>
              </w:rPr>
              <w:t>Noter l'appel ; le lire, décider (grilles 1 et 2)</w:t>
            </w:r>
          </w:p>
        </w:tc>
        <w:tc>
          <w:tcPr>
            <w:tcW w:type="dxa" w:w="2466"/>
          </w:tcPr>
          <w:p>
            <w:r>
              <w:rPr>
                <w:b w:val="0"/>
                <w:i w:val="0"/>
                <w:sz w:val="19"/>
              </w:rPr>
              <w:t>Dès sa découverte</w:t>
            </w:r>
          </w:p>
        </w:tc>
        <w:tc>
          <w:tcPr>
            <w:tcW w:type="dxa" w:w="2466"/>
          </w:tcPr>
          <w:p/>
        </w:tc>
        <w:tc>
          <w:tcPr>
            <w:tcW w:type="dxa" w:w="2466"/>
          </w:tcPr>
          <w:p>
            <w:r>
              <w:rPr>
                <w:b w:val="0"/>
                <w:i w:val="0"/>
                <w:sz w:val="19"/>
              </w:rPr>
              <w:t>☐</w:t>
            </w:r>
          </w:p>
        </w:tc>
      </w:tr>
      <w:tr>
        <w:tc>
          <w:tcPr>
            <w:tcW w:type="dxa" w:w="2466"/>
            <w:shd w:val="clear" w:color="auto" w:fill="f3f4f7"/>
          </w:tcPr>
          <w:p>
            <w:r>
              <w:rPr>
                <w:b/>
                <w:i w:val="0"/>
                <w:sz w:val="19"/>
              </w:rPr>
              <w:t>Poser vos questions au contact, préparées</w:t>
            </w:r>
          </w:p>
        </w:tc>
        <w:tc>
          <w:tcPr>
            <w:tcW w:type="dxa" w:w="2466"/>
          </w:tcPr>
          <w:p>
            <w:r>
              <w:rPr>
                <w:b w:val="0"/>
                <w:i w:val="0"/>
                <w:sz w:val="19"/>
              </w:rPr>
              <w:t>Tôt</w:t>
            </w:r>
          </w:p>
        </w:tc>
        <w:tc>
          <w:tcPr>
            <w:tcW w:type="dxa" w:w="2466"/>
          </w:tcPr>
          <w:p/>
        </w:tc>
        <w:tc>
          <w:tcPr>
            <w:tcW w:type="dxa" w:w="2466"/>
          </w:tcPr>
          <w:p>
            <w:r>
              <w:rPr>
                <w:b w:val="0"/>
                <w:i w:val="0"/>
                <w:sz w:val="19"/>
              </w:rPr>
              <w:t>☐</w:t>
            </w:r>
          </w:p>
        </w:tc>
      </w:tr>
      <w:tr>
        <w:tc>
          <w:tcPr>
            <w:tcW w:type="dxa" w:w="2466"/>
            <w:shd w:val="clear" w:color="auto" w:fill="f3f4f7"/>
          </w:tcPr>
          <w:p>
            <w:r>
              <w:rPr>
                <w:b/>
                <w:i w:val="0"/>
                <w:sz w:val="19"/>
              </w:rPr>
              <w:t>Partenaires : lettres de soutien, apports en nature</w:t>
            </w:r>
          </w:p>
        </w:tc>
        <w:tc>
          <w:tcPr>
            <w:tcW w:type="dxa" w:w="2466"/>
          </w:tcPr>
          <w:p>
            <w:r>
              <w:rPr>
                <w:b w:val="0"/>
                <w:i w:val="0"/>
                <w:sz w:val="19"/>
              </w:rPr>
              <w:t>Tôt</w:t>
            </w:r>
          </w:p>
        </w:tc>
        <w:tc>
          <w:tcPr>
            <w:tcW w:type="dxa" w:w="2466"/>
          </w:tcPr>
          <w:p/>
        </w:tc>
        <w:tc>
          <w:tcPr>
            <w:tcW w:type="dxa" w:w="2466"/>
          </w:tcPr>
          <w:p>
            <w:r>
              <w:rPr>
                <w:b w:val="0"/>
                <w:i w:val="0"/>
                <w:sz w:val="19"/>
              </w:rPr>
              <w:t>☐</w:t>
            </w:r>
          </w:p>
        </w:tc>
      </w:tr>
      <w:tr>
        <w:tc>
          <w:tcPr>
            <w:tcW w:type="dxa" w:w="2466"/>
            <w:shd w:val="clear" w:color="auto" w:fill="f3f4f7"/>
          </w:tcPr>
          <w:p>
            <w:r>
              <w:rPr>
                <w:b/>
                <w:i w:val="0"/>
                <w:sz w:val="19"/>
              </w:rPr>
              <w:t>Rassembler les pièces administratives</w:t>
            </w:r>
          </w:p>
        </w:tc>
        <w:tc>
          <w:tcPr>
            <w:tcW w:type="dxa" w:w="2466"/>
          </w:tcPr>
          <w:p>
            <w:r>
              <w:rPr>
                <w:b w:val="0"/>
                <w:i w:val="0"/>
                <w:sz w:val="19"/>
              </w:rPr>
              <w:t>Sirene : moins de 3 mois</w:t>
            </w:r>
          </w:p>
        </w:tc>
        <w:tc>
          <w:tcPr>
            <w:tcW w:type="dxa" w:w="2466"/>
          </w:tcPr>
          <w:p/>
        </w:tc>
        <w:tc>
          <w:tcPr>
            <w:tcW w:type="dxa" w:w="2466"/>
          </w:tcPr>
          <w:p>
            <w:r>
              <w:rPr>
                <w:b w:val="0"/>
                <w:i w:val="0"/>
                <w:sz w:val="19"/>
              </w:rPr>
              <w:t>☐</w:t>
            </w:r>
          </w:p>
        </w:tc>
      </w:tr>
      <w:tr>
        <w:tc>
          <w:tcPr>
            <w:tcW w:type="dxa" w:w="2466"/>
            <w:shd w:val="clear" w:color="auto" w:fill="f3f4f7"/>
          </w:tcPr>
          <w:p>
            <w:r>
              <w:rPr>
                <w:b/>
                <w:i w:val="0"/>
                <w:sz w:val="19"/>
              </w:rPr>
              <w:t>Adapter le CV ; écrire la note, le projet, le budget</w:t>
            </w:r>
          </w:p>
        </w:tc>
        <w:tc>
          <w:tcPr>
            <w:tcW w:type="dxa" w:w="2466"/>
          </w:tcPr>
          <w:p/>
        </w:tc>
        <w:tc>
          <w:tcPr>
            <w:tcW w:type="dxa" w:w="2466"/>
          </w:tcPr>
          <w:p/>
        </w:tc>
        <w:tc>
          <w:tcPr>
            <w:tcW w:type="dxa" w:w="2466"/>
          </w:tcPr>
          <w:p>
            <w:r>
              <w:rPr>
                <w:b w:val="0"/>
                <w:i w:val="0"/>
                <w:sz w:val="19"/>
              </w:rPr>
              <w:t>☐</w:t>
            </w:r>
          </w:p>
        </w:tc>
      </w:tr>
      <w:tr>
        <w:tc>
          <w:tcPr>
            <w:tcW w:type="dxa" w:w="2466"/>
            <w:shd w:val="clear" w:color="auto" w:fill="f3f4f7"/>
          </w:tcPr>
          <w:p>
            <w:r>
              <w:rPr>
                <w:b/>
                <w:i w:val="0"/>
                <w:sz w:val="19"/>
              </w:rPr>
              <w:t>Dossier complet, relu, prêt à partir</w:t>
            </w:r>
          </w:p>
        </w:tc>
        <w:tc>
          <w:tcPr>
            <w:tcW w:type="dxa" w:w="2466"/>
          </w:tcPr>
          <w:p>
            <w:r>
              <w:rPr>
                <w:b/>
                <w:i w:val="0"/>
                <w:sz w:val="19"/>
              </w:rPr>
              <w:t>J – 15</w:t>
            </w:r>
          </w:p>
        </w:tc>
        <w:tc>
          <w:tcPr>
            <w:tcW w:type="dxa" w:w="2466"/>
          </w:tcPr>
          <w:p/>
        </w:tc>
        <w:tc>
          <w:tcPr>
            <w:tcW w:type="dxa" w:w="2466"/>
          </w:tcPr>
          <w:p>
            <w:r>
              <w:rPr>
                <w:b w:val="0"/>
                <w:i w:val="0"/>
                <w:sz w:val="19"/>
              </w:rPr>
              <w:t>☐</w:t>
            </w:r>
          </w:p>
        </w:tc>
      </w:tr>
      <w:tr>
        <w:tc>
          <w:tcPr>
            <w:tcW w:type="dxa" w:w="2466"/>
            <w:shd w:val="clear" w:color="auto" w:fill="f3f4f7"/>
          </w:tcPr>
          <w:p>
            <w:r>
              <w:rPr>
                <w:b/>
                <w:i w:val="0"/>
                <w:sz w:val="19"/>
              </w:rPr>
              <w:t>Envoyer</w:t>
            </w:r>
            <w:r>
              <w:rPr>
                <w:b/>
                <w:i w:val="0"/>
                <w:sz w:val="19"/>
              </w:rPr>
              <w:t xml:space="preserve"> (par : …………) ; vérifier qu'il est arrivé</w:t>
            </w:r>
          </w:p>
        </w:tc>
        <w:tc>
          <w:tcPr>
            <w:tcW w:type="dxa" w:w="2466"/>
          </w:tcPr>
          <w:p>
            <w:r>
              <w:rPr>
                <w:b/>
                <w:i w:val="0"/>
                <w:sz w:val="19"/>
              </w:rPr>
              <w:t>Avant J</w:t>
            </w:r>
          </w:p>
        </w:tc>
        <w:tc>
          <w:tcPr>
            <w:tcW w:type="dxa" w:w="2466"/>
          </w:tcPr>
          <w:p/>
        </w:tc>
        <w:tc>
          <w:tcPr>
            <w:tcW w:type="dxa" w:w="2466"/>
          </w:tcPr>
          <w:p>
            <w:r>
              <w:rPr>
                <w:b w:val="0"/>
                <w:i w:val="0"/>
                <w:sz w:val="19"/>
              </w:rPr>
              <w:t>☐</w:t>
            </w:r>
          </w:p>
        </w:tc>
      </w:tr>
      <w:tr>
        <w:tc>
          <w:tcPr>
            <w:tcW w:type="dxa" w:w="2466"/>
            <w:shd w:val="clear" w:color="auto" w:fill="f3f4f7"/>
          </w:tcPr>
          <w:p>
            <w:r>
              <w:rPr>
                <w:b/>
                <w:i w:val="0"/>
                <w:sz w:val="19"/>
              </w:rPr>
              <w:t>Résultat. Un non est le début d'une relation</w:t>
            </w:r>
          </w:p>
        </w:tc>
        <w:tc>
          <w:tcPr>
            <w:tcW w:type="dxa" w:w="2466"/>
          </w:tcPr>
          <w:p>
            <w:r>
              <w:rPr>
                <w:b w:val="0"/>
                <w:i w:val="0"/>
                <w:sz w:val="19"/>
              </w:rPr>
              <w:t>Demander les motifs</w:t>
            </w:r>
          </w:p>
        </w:tc>
        <w:tc>
          <w:tcPr>
            <w:tcW w:type="dxa" w:w="2466"/>
          </w:tcPr>
          <w:p/>
        </w:tc>
        <w:tc>
          <w:tcPr>
            <w:tcW w:type="dxa" w:w="2466"/>
          </w:tcPr>
          <w:p>
            <w:r>
              <w:rPr>
                <w:b w:val="0"/>
                <w:i w:val="0"/>
                <w:sz w:val="19"/>
              </w:rPr>
              <w:t>☐</w:t>
            </w:r>
          </w:p>
        </w:tc>
      </w:tr>
    </w:tbl>
    <w:p>
      <w:pPr>
        <w:spacing w:after="80"/>
      </w:pPr>
      <w:r>
        <w:rPr>
          <w:b w:val="0"/>
          <w:i/>
          <w:color w:val="555555"/>
          <w:sz w:val="17"/>
        </w:rPr>
        <w:t>Marché public : moins de dix jours entre publication et clôture, passez votre tour. Refusé, demandez les motifs : en procédure adaptée, l'acheteur les donne sous quinze jours (code de la commande publique, art. R2181-2, à jour au 4 octobre 2026).</w:t>
      </w:r>
    </w:p>
    <w:p>
      <w:pPr>
        <w:spacing w:before="280" w:after="120"/>
      </w:pPr>
      <w:r>
        <w:rPr>
          <w:b/>
          <w:color w:val="9A6420"/>
          <w:sz w:val="28"/>
        </w:rPr>
        <w:t xml:space="preserve">5  </w:t>
      </w:r>
      <w:r>
        <w:rPr>
          <w:rFonts w:ascii="Georgia" w:hAnsi="Georgia"/>
          <w:b/>
          <w:color w:val="14304F"/>
          <w:sz w:val="28"/>
        </w:rPr>
        <w:t>La trame du budget, à l'équilibre</w:t>
      </w:r>
    </w:p>
    <w:p>
      <w:pPr>
        <w:spacing w:after="80"/>
      </w:pPr>
      <w:r>
        <w:rPr>
          <w:b w:val="0"/>
          <w:i w:val="0"/>
        </w:rPr>
        <w:t>Partez de l'enveloppe : présentez un budget de ce montant, à l'équilibre. Proposer moins ne fait pas de vous une bonne affaire. Chiffrez vos apports en nature et ceux de vos partenaires : c'est du cofinancement.</w:t>
      </w:r>
    </w:p>
    <w:tbl>
      <w:tblPr>
        <w:tblStyle w:val="TableGrid"/>
        <w:tblW w:type="auto" w:w="0"/>
        <w:tblLook w:firstColumn="1" w:firstRow="1" w:lastColumn="0" w:lastRow="0" w:noHBand="0" w:noVBand="1" w:val="04A0"/>
      </w:tblPr>
      <w:tblGrid>
        <w:gridCol w:w="2466"/>
        <w:gridCol w:w="2466"/>
        <w:gridCol w:w="2466"/>
        <w:gridCol w:w="2466"/>
      </w:tblGrid>
      <w:tr>
        <w:tc>
          <w:tcPr>
            <w:tcW w:type="dxa" w:w="2466"/>
            <w:shd w:val="clear" w:color="auto" w:fill="e4eaf3"/>
          </w:tcPr>
          <w:p>
            <w:r>
              <w:rPr>
                <w:b/>
                <w:i w:val="0"/>
                <w:color w:val="14304F"/>
                <w:sz w:val="19"/>
              </w:rPr>
              <w:t>Dépenses</w:t>
            </w:r>
          </w:p>
        </w:tc>
        <w:tc>
          <w:tcPr>
            <w:tcW w:type="dxa" w:w="2466"/>
            <w:shd w:val="clear" w:color="auto" w:fill="e4eaf3"/>
          </w:tcPr>
          <w:p>
            <w:r>
              <w:rPr>
                <w:b/>
                <w:i w:val="0"/>
                <w:color w:val="14304F"/>
                <w:sz w:val="19"/>
              </w:rPr>
              <w:t>Montant ……</w:t>
            </w:r>
          </w:p>
        </w:tc>
        <w:tc>
          <w:tcPr>
            <w:tcW w:type="dxa" w:w="2466"/>
            <w:shd w:val="clear" w:color="auto" w:fill="e4eaf3"/>
          </w:tcPr>
          <w:p>
            <w:r>
              <w:rPr>
                <w:b/>
                <w:i w:val="0"/>
                <w:color w:val="14304F"/>
                <w:sz w:val="19"/>
              </w:rPr>
              <w:t>Ressources</w:t>
            </w:r>
          </w:p>
        </w:tc>
        <w:tc>
          <w:tcPr>
            <w:tcW w:type="dxa" w:w="2466"/>
            <w:shd w:val="clear" w:color="auto" w:fill="e4eaf3"/>
          </w:tcPr>
          <w:p>
            <w:r>
              <w:rPr>
                <w:b/>
                <w:i w:val="0"/>
                <w:color w:val="14304F"/>
                <w:sz w:val="19"/>
              </w:rPr>
              <w:t>Montant ……</w:t>
            </w:r>
          </w:p>
        </w:tc>
      </w:tr>
      <w:tr>
        <w:tc>
          <w:tcPr>
            <w:tcW w:type="dxa" w:w="2466"/>
          </w:tcPr>
          <w:p>
            <w:r>
              <w:rPr>
                <w:b w:val="0"/>
                <w:i w:val="0"/>
                <w:sz w:val="19"/>
              </w:rPr>
              <w:t>Honoraires de création</w:t>
            </w:r>
          </w:p>
        </w:tc>
        <w:tc>
          <w:tcPr>
            <w:tcW w:type="dxa" w:w="2466"/>
          </w:tcPr>
          <w:p/>
        </w:tc>
        <w:tc>
          <w:tcPr>
            <w:tcW w:type="dxa" w:w="2466"/>
          </w:tcPr>
          <w:p>
            <w:r>
              <w:rPr>
                <w:b w:val="0"/>
                <w:i w:val="0"/>
                <w:sz w:val="19"/>
              </w:rPr>
              <w:t>Montant demandé à cet appel</w:t>
            </w:r>
          </w:p>
        </w:tc>
        <w:tc>
          <w:tcPr>
            <w:tcW w:type="dxa" w:w="2466"/>
          </w:tcPr>
          <w:p/>
        </w:tc>
      </w:tr>
      <w:tr>
        <w:tc>
          <w:tcPr>
            <w:tcW w:type="dxa" w:w="2466"/>
          </w:tcPr>
          <w:p>
            <w:r>
              <w:rPr>
                <w:b w:val="0"/>
                <w:i w:val="0"/>
                <w:sz w:val="19"/>
              </w:rPr>
              <w:t>Honoraires des ateliers avec le public</w:t>
            </w:r>
          </w:p>
        </w:tc>
        <w:tc>
          <w:tcPr>
            <w:tcW w:type="dxa" w:w="2466"/>
          </w:tcPr>
          <w:p/>
        </w:tc>
        <w:tc>
          <w:tcPr>
            <w:tcW w:type="dxa" w:w="2466"/>
          </w:tcPr>
          <w:p>
            <w:r>
              <w:rPr>
                <w:b w:val="0"/>
                <w:i w:val="0"/>
                <w:sz w:val="19"/>
              </w:rPr>
              <w:t>Autres financeurs publics</w:t>
            </w:r>
          </w:p>
        </w:tc>
        <w:tc>
          <w:tcPr>
            <w:tcW w:type="dxa" w:w="2466"/>
          </w:tcPr>
          <w:p/>
        </w:tc>
      </w:tr>
      <w:tr>
        <w:tc>
          <w:tcPr>
            <w:tcW w:type="dxa" w:w="2466"/>
          </w:tcPr>
          <w:p>
            <w:r>
              <w:rPr>
                <w:b w:val="0"/>
                <w:i w:val="0"/>
                <w:sz w:val="19"/>
              </w:rPr>
              <w:t>Matériel et production</w:t>
            </w:r>
          </w:p>
        </w:tc>
        <w:tc>
          <w:tcPr>
            <w:tcW w:type="dxa" w:w="2466"/>
          </w:tcPr>
          <w:p/>
        </w:tc>
        <w:tc>
          <w:tcPr>
            <w:tcW w:type="dxa" w:w="2466"/>
          </w:tcPr>
          <w:p>
            <w:r>
              <w:rPr>
                <w:b w:val="0"/>
                <w:i w:val="0"/>
                <w:sz w:val="19"/>
              </w:rPr>
              <w:t>Aides privées : fondation, entreprise</w:t>
            </w:r>
          </w:p>
        </w:tc>
        <w:tc>
          <w:tcPr>
            <w:tcW w:type="dxa" w:w="2466"/>
          </w:tcPr>
          <w:p/>
        </w:tc>
      </w:tr>
      <w:tr>
        <w:tc>
          <w:tcPr>
            <w:tcW w:type="dxa" w:w="2466"/>
          </w:tcPr>
          <w:p>
            <w:r>
              <w:rPr>
                <w:b w:val="0"/>
                <w:i w:val="0"/>
                <w:sz w:val="19"/>
              </w:rPr>
              <w:t>Communication : conception, impression</w:t>
            </w:r>
          </w:p>
        </w:tc>
        <w:tc>
          <w:tcPr>
            <w:tcW w:type="dxa" w:w="2466"/>
          </w:tcPr>
          <w:p/>
        </w:tc>
        <w:tc>
          <w:tcPr>
            <w:tcW w:type="dxa" w:w="2466"/>
          </w:tcPr>
          <w:p>
            <w:r>
              <w:rPr>
                <w:b w:val="0"/>
                <w:i w:val="0"/>
                <w:sz w:val="19"/>
              </w:rPr>
              <w:t>Vos ressources propres</w:t>
            </w:r>
          </w:p>
        </w:tc>
        <w:tc>
          <w:tcPr>
            <w:tcW w:type="dxa" w:w="2466"/>
          </w:tcPr>
          <w:p/>
        </w:tc>
      </w:tr>
      <w:tr>
        <w:tc>
          <w:tcPr>
            <w:tcW w:type="dxa" w:w="2466"/>
          </w:tcPr>
          <w:p>
            <w:r>
              <w:rPr>
                <w:b w:val="0"/>
                <w:i w:val="0"/>
                <w:sz w:val="19"/>
              </w:rPr>
              <w:t>Déplacements, hébergement, repas</w:t>
            </w:r>
          </w:p>
        </w:tc>
        <w:tc>
          <w:tcPr>
            <w:tcW w:type="dxa" w:w="2466"/>
          </w:tcPr>
          <w:p/>
        </w:tc>
        <w:tc>
          <w:tcPr>
            <w:tcW w:type="dxa" w:w="2466"/>
          </w:tcPr>
          <w:p/>
        </w:tc>
        <w:tc>
          <w:tcPr>
            <w:tcW w:type="dxa" w:w="2466"/>
          </w:tcPr>
          <w:p/>
        </w:tc>
      </w:tr>
      <w:tr>
        <w:tc>
          <w:tcPr>
            <w:tcW w:type="dxa" w:w="2466"/>
          </w:tcPr>
          <w:p>
            <w:r>
              <w:rPr>
                <w:b/>
                <w:i w:val="0"/>
                <w:sz w:val="19"/>
              </w:rPr>
              <w:t>A · Total des dépenses</w:t>
            </w:r>
          </w:p>
        </w:tc>
        <w:tc>
          <w:tcPr>
            <w:tcW w:type="dxa" w:w="2466"/>
          </w:tcPr>
          <w:p/>
        </w:tc>
        <w:tc>
          <w:tcPr>
            <w:tcW w:type="dxa" w:w="2466"/>
          </w:tcPr>
          <w:p>
            <w:r>
              <w:rPr>
                <w:b/>
                <w:i w:val="0"/>
                <w:sz w:val="19"/>
              </w:rPr>
              <w:t>B · Total des ressources</w:t>
            </w:r>
          </w:p>
        </w:tc>
        <w:tc>
          <w:tcPr>
            <w:tcW w:type="dxa" w:w="2466"/>
          </w:tcPr>
          <w:p/>
        </w:tc>
      </w:tr>
      <w:tr>
        <w:tc>
          <w:tcPr>
            <w:tcW w:type="dxa" w:w="2466"/>
          </w:tcPr>
          <w:p>
            <w:r>
              <w:rPr>
                <w:b/>
                <w:i w:val="0"/>
                <w:sz w:val="19"/>
              </w:rPr>
              <w:t>C</w:t>
            </w:r>
            <w:r>
              <w:rPr>
                <w:b w:val="0"/>
                <w:i w:val="0"/>
                <w:sz w:val="19"/>
              </w:rPr>
              <w:t xml:space="preserve"> · Emploi des apports en nature</w:t>
            </w:r>
          </w:p>
        </w:tc>
        <w:tc>
          <w:tcPr>
            <w:tcW w:type="dxa" w:w="2466"/>
          </w:tcPr>
          <w:p/>
        </w:tc>
        <w:tc>
          <w:tcPr>
            <w:tcW w:type="dxa" w:w="2466"/>
          </w:tcPr>
          <w:p>
            <w:r>
              <w:rPr>
                <w:b/>
                <w:i w:val="0"/>
                <w:sz w:val="19"/>
              </w:rPr>
              <w:t>C</w:t>
            </w:r>
            <w:r>
              <w:rPr>
                <w:b w:val="0"/>
                <w:i w:val="0"/>
                <w:sz w:val="19"/>
              </w:rPr>
              <w:t xml:space="preserve"> · Apports en nature reçus</w:t>
            </w:r>
          </w:p>
        </w:tc>
        <w:tc>
          <w:tcPr>
            <w:tcW w:type="dxa" w:w="2466"/>
          </w:tcPr>
          <w:p/>
        </w:tc>
      </w:tr>
      <w:tr>
        <w:tc>
          <w:tcPr>
            <w:tcW w:type="dxa" w:w="2466"/>
          </w:tcPr>
          <w:p>
            <w:r>
              <w:rPr>
                <w:b/>
                <w:i w:val="0"/>
                <w:sz w:val="19"/>
              </w:rPr>
              <w:t>A + C · Total du budget</w:t>
            </w:r>
          </w:p>
        </w:tc>
        <w:tc>
          <w:tcPr>
            <w:tcW w:type="dxa" w:w="2466"/>
          </w:tcPr>
          <w:p/>
        </w:tc>
        <w:tc>
          <w:tcPr>
            <w:tcW w:type="dxa" w:w="2466"/>
          </w:tcPr>
          <w:p>
            <w:r>
              <w:rPr>
                <w:b/>
                <w:i w:val="0"/>
                <w:sz w:val="19"/>
              </w:rPr>
              <w:t>B + C · Égal à A + C</w:t>
            </w:r>
          </w:p>
        </w:tc>
        <w:tc>
          <w:tcPr>
            <w:tcW w:type="dxa" w:w="2466"/>
          </w:tcPr>
          <w:p/>
        </w:tc>
      </w:tr>
    </w:tbl>
    <w:p>
      <w:pPr>
        <w:spacing w:after="80"/>
      </w:pPr>
      <w:r>
        <w:rPr>
          <w:b w:val="0"/>
          <w:i/>
          <w:color w:val="555555"/>
          <w:sz w:val="17"/>
        </w:rPr>
        <w:t>Apports en nature : matériel prêté, lieu, bénévoles (voir « Trouver des sources de financement »). Le Cerfa n° 12156*06 les inscrit des deux côtés, au même montant. En 2020, une commune proposait 18 000 € TTC, honoraires, matériel et déplacements compris. Cette trame sert quand le dossier demande un budget détaillé ; pour une aide individuelle simple, suivez le formulaire de l'appel.</w:t>
      </w:r>
    </w:p>
    <w:p>
      <w:pPr>
        <w:spacing w:after="80"/>
      </w:pPr>
      <w:r>
        <w:rPr>
          <w:b w:val="0"/>
          <w:i w:val="0"/>
          <w:color w:val="555555"/>
          <w:sz w:val="19"/>
        </w:rPr>
        <w:t>Le compte rendu complet du webinaire : lacondamine.org/blog/2023/09/28/26-octobre-2023-comment-choisir-et-repondre-a-un-appel-a-projet-en-2024/</w:t>
      </w:r>
    </w:p>
    <w:sectPr w:rsidR="00FC693F" w:rsidRPr="0006063C" w:rsidSect="00034616">
      <w:footerReference w:type="default" r:id="rId9"/>
      <w:pgSz w:w="11906" w:h="16838"/>
      <w:pgMar w:top="907" w:right="1020" w:bottom="907"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777777"/>
        <w:sz w:val="15"/>
      </w:rPr>
      <w:t>La Condamine, association loi 1901 · lacondamine.org — Fiche pratique n° 14, d'après les webinaires de Mahault de Raymond-Cahuzac et Pierre-Benoit Roux du 26 octobre 2023, et de Pierre-Benoit Roux du 7 décembre 2020 et du 17 juin 2022. Licence Creative Commons BY-NC-SA 4.0 : vous pouvez copier, partager et adapter cette fiche, sans usage commercial, en citant La Condamine avec un lien vers lacondamine.org, et en la diffusant sous la même licence.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Helvetica" w:hAnsi="Helvetic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Appel à projets : lire, décider, constituer son dossier</dc:title>
  <dc:subject/>
  <dc:creator>La Condamine</dc:creator>
  <cp:keywords/>
  <dc:description>generated by python-docx</dc:description>
  <cp:lastModifiedBy/>
  <cp:revision>1</cp:revision>
  <dcterms:created xsi:type="dcterms:W3CDTF">2013-12-23T23:15:00Z</dcterms:created>
  <dcterms:modified xsi:type="dcterms:W3CDTF">2013-12-23T23:15:00Z</dcterms:modified>
  <cp:category/>
</cp:coreProperties>
</file>