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1 · Cycle « Les enjeux de la création »</w:t>
      </w:r>
    </w:p>
    <w:p>
      <w:r>
        <w:rPr>
          <w:rFonts w:ascii="Georgia" w:hAnsi="Georgia"/>
          <w:b/>
          <w:color w:val="14304F"/>
          <w:sz w:val="44"/>
        </w:rPr>
        <w:t>Dix lignes pour commencer sa démarche artistique</w:t>
      </w:r>
    </w:p>
    <w:p>
      <w:pPr>
        <w:spacing w:after="80"/>
      </w:pPr>
      <w:r>
        <w:rPr>
          <w:b w:val="0"/>
          <w:i w:val="0"/>
          <w:color w:val="444444"/>
          <w:sz w:val="22"/>
        </w:rPr>
        <w:t>Cette fiche accompagne le compte rendu du webinaire « Construire sa démarche artistique (1/3) ». Elle se remplit au crayon, en une heure environ. Le but n'est pas un texte définitif, mais un premier jet d'une dizaine de lignes, à reprendre projet après projet.</w:t>
      </w:r>
    </w:p>
    <w:p>
      <w:pPr>
        <w:spacing w:before="280" w:after="120"/>
      </w:pPr>
      <w:r>
        <w:rPr>
          <w:b/>
          <w:color w:val="9A6420"/>
          <w:sz w:val="28"/>
        </w:rPr>
        <w:t xml:space="preserve">1  </w:t>
      </w:r>
      <w:r>
        <w:rPr>
          <w:rFonts w:ascii="Georgia" w:hAnsi="Georgia"/>
          <w:b/>
          <w:color w:val="14304F"/>
          <w:sz w:val="28"/>
        </w:rPr>
        <w:t>Votre cercle d'or</w:t>
      </w:r>
    </w:p>
    <w:p>
      <w:r>
        <w:drawing>
          <wp:inline xmlns:a="http://schemas.openxmlformats.org/drawingml/2006/main" xmlns:pic="http://schemas.openxmlformats.org/drawingml/2006/picture">
            <wp:extent cx="1620000" cy="1616538"/>
            <wp:docPr id="1" name="Picture 1"/>
            <wp:cNvGraphicFramePr>
              <a:graphicFrameLocks noChangeAspect="1"/>
            </wp:cNvGraphicFramePr>
            <a:graphic>
              <a:graphicData uri="http://schemas.openxmlformats.org/drawingml/2006/picture">
                <pic:pic>
                  <pic:nvPicPr>
                    <pic:cNvPr id="0" name="cercle-or.jpg"/>
                    <pic:cNvPicPr/>
                  </pic:nvPicPr>
                  <pic:blipFill>
                    <a:blip r:embed="rId10"/>
                    <a:stretch>
                      <a:fillRect/>
                    </a:stretch>
                  </pic:blipFill>
                  <pic:spPr>
                    <a:xfrm>
                      <a:off x="0" y="0"/>
                      <a:ext cx="1620000" cy="1616538"/>
                    </a:xfrm>
                    <a:prstGeom prst="rect"/>
                  </pic:spPr>
                </pic:pic>
              </a:graphicData>
            </a:graphic>
          </wp:inline>
        </w:drawing>
      </w:r>
    </w:p>
    <w:p>
      <w:pPr>
        <w:spacing w:after="80"/>
      </w:pPr>
      <w:r>
        <w:rPr>
          <w:b/>
          <w:color w:val="14304F"/>
        </w:rPr>
        <w:t xml:space="preserve">Pourquoi ? </w:t>
      </w:r>
      <w:r>
        <w:t>Qu'est-ce que je rends visible ? Dans quoi je m'inscris : une histoire, une société, une question sur mon médium, un récit, une pensée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color w:val="14304F"/>
        </w:rPr>
        <w:t xml:space="preserve">Comment ? </w:t>
      </w:r>
      <w:r>
        <w:t>Par quel dispositif formel : la matière brute, une ligne épurée, une illusion, un déséquilibre, la répétition, la transposition d'un son en forme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color w:val="14304F"/>
        </w:rPr>
        <w:t xml:space="preserve">Quoi ? </w:t>
      </w:r>
      <w:r>
        <w:t>Quelle est la nature de l'image : peinture, sculpture, dessin, gravure, photographie, installation, vidéo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before="280" w:after="120"/>
      </w:pPr>
      <w:r>
        <w:rPr>
          <w:b/>
          <w:color w:val="9A6420"/>
          <w:sz w:val="28"/>
        </w:rPr>
        <w:t xml:space="preserve">2  </w:t>
      </w:r>
      <w:r>
        <w:rPr>
          <w:rFonts w:ascii="Georgia" w:hAnsi="Georgia"/>
          <w:b/>
          <w:color w:val="14304F"/>
          <w:sz w:val="28"/>
        </w:rPr>
        <w:t>Situer votre degré de figuration</w:t>
      </w:r>
    </w:p>
    <w:p>
      <w:pPr>
        <w:spacing w:after="80"/>
      </w:pPr>
      <w:r>
        <w:rPr>
          <w:b w:val="0"/>
          <w:i w:val="0"/>
        </w:rPr>
        <w:t>Cochez la position la plus proche de votre travail actuel, de l'image qui existe par elle-même à celle qui ressemble à ce qu'elle désigne.</w:t>
      </w:r>
    </w:p>
    <w:p>
      <w:pPr>
        <w:spacing w:after="40"/>
      </w:pPr>
      <w:r>
        <w:t xml:space="preserve">☐  </w:t>
      </w:r>
      <w:r>
        <w:rPr>
          <w:b/>
          <w:color w:val="14304F"/>
        </w:rPr>
        <w:t xml:space="preserve">Aniconique — </w:t>
      </w:r>
      <w:r>
        <w:t>L'image ne représente rien : motif répété, illusion optique.</w:t>
      </w:r>
    </w:p>
    <w:p>
      <w:pPr>
        <w:spacing w:after="40"/>
      </w:pPr>
      <w:r>
        <w:t xml:space="preserve">☐  </w:t>
      </w:r>
      <w:r>
        <w:rPr>
          <w:b/>
          <w:color w:val="14304F"/>
        </w:rPr>
        <w:t xml:space="preserve">Abstraction qui figure — </w:t>
      </w:r>
      <w:r>
        <w:t>On ne reconnaît rien, mais l'image figure une énergie, un état, un geste.</w:t>
      </w:r>
    </w:p>
    <w:p>
      <w:pPr>
        <w:spacing w:after="40"/>
      </w:pPr>
      <w:r>
        <w:t xml:space="preserve">☐  </w:t>
      </w:r>
      <w:r>
        <w:rPr>
          <w:b/>
          <w:color w:val="14304F"/>
        </w:rPr>
        <w:t xml:space="preserve">Motif stylisé — </w:t>
      </w:r>
      <w:r>
        <w:t>On reconnaît encore la chose, ou son idée, poussée à sa limite.</w:t>
      </w:r>
    </w:p>
    <w:p>
      <w:pPr>
        <w:spacing w:after="40"/>
      </w:pPr>
      <w:r>
        <w:t xml:space="preserve">☐  </w:t>
      </w:r>
      <w:r>
        <w:rPr>
          <w:b/>
          <w:color w:val="14304F"/>
        </w:rPr>
        <w:t xml:space="preserve">Mimétique — </w:t>
      </w:r>
      <w:r>
        <w:t>L'image reproduit au plus près ce qu'elle montre.</w:t>
      </w:r>
    </w:p>
    <w:p>
      <w:pPr>
        <w:spacing w:after="80"/>
      </w:pPr>
      <w:r>
        <w:rPr>
          <w:b/>
          <w:i w:val="0"/>
        </w:rPr>
        <w:t>Quelle difficulté concrète cette position vous pose-t-elle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i w:val="0"/>
        </w:rPr>
        <w:t>Œuvre fermée ou dispositif ?</w:t>
      </w:r>
    </w:p>
    <w:p>
      <w:pPr>
        <w:spacing w:after="40"/>
      </w:pPr>
      <w:r>
        <w:rPr>
          <w:b w:val="0"/>
          <w:i w:val="0"/>
        </w:rPr>
        <w:t>☐  Mon œuvre existe comme un objet achevé, indépendamment du lieu où elle est montrée.</w:t>
      </w:r>
    </w:p>
    <w:p>
      <w:pPr>
        <w:spacing w:after="40"/>
      </w:pPr>
      <w:r>
        <w:rPr>
          <w:b w:val="0"/>
          <w:i w:val="0"/>
        </w:rPr>
        <w:t>☐  Mon œuvre prend sens dans un dispositif que le spectateur active.</w:t>
      </w:r>
    </w:p>
    <w:p>
      <w:pPr>
        <w:spacing w:after="40"/>
      </w:pPr>
      <w:r>
        <w:rPr>
          <w:b w:val="0"/>
          <w:i w:val="0"/>
        </w:rPr>
        <w:t>☐  Les deux, selon les projets.</w:t>
      </w:r>
    </w:p>
    <w:p>
      <w:pPr>
        <w:spacing w:before="280" w:after="120"/>
      </w:pPr>
      <w:r>
        <w:rPr>
          <w:b/>
          <w:color w:val="9A6420"/>
          <w:sz w:val="28"/>
        </w:rPr>
        <w:t xml:space="preserve">3  </w:t>
      </w:r>
      <w:r>
        <w:rPr>
          <w:rFonts w:ascii="Georgia" w:hAnsi="Georgia"/>
          <w:b/>
          <w:color w:val="14304F"/>
          <w:sz w:val="28"/>
        </w:rPr>
        <w:t>D'où vient ce que vous figurez ?</w:t>
      </w:r>
    </w:p>
    <w:p>
      <w:pPr>
        <w:spacing w:after="80"/>
      </w:pPr>
      <w:r>
        <w:rPr>
          <w:b/>
          <w:i w:val="0"/>
        </w:rPr>
        <w:t>Mes références visuelles artistiques (œuvres, artistes, mouvements)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after="80"/>
      </w:pPr>
      <w:r>
        <w:rPr>
          <w:b/>
          <w:i w:val="0"/>
        </w:rPr>
        <w:t>Mes références non artistiques (un paysage, un souvenir, un objet, une science, un récit)</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after="80"/>
      </w:pPr>
      <w:r>
        <w:rPr>
          <w:b/>
          <w:i w:val="0"/>
        </w:rPr>
        <w:t>Ce qui résiste : là où je rencontre des difficultés formelles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after="80"/>
      </w:pPr>
      <w:r>
        <w:rPr>
          <w:b/>
          <w:i w:val="0"/>
        </w:rPr>
        <w:t>Le récit dans lequel mon image s'inscrit (historique, fondateur, à venir, spirituel, scientifique…)</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before="280" w:after="120"/>
      </w:pPr>
      <w:r>
        <w:rPr>
          <w:b/>
          <w:color w:val="9A6420"/>
          <w:sz w:val="28"/>
        </w:rPr>
        <w:t xml:space="preserve">4  </w:t>
      </w:r>
      <w:r>
        <w:rPr>
          <w:rFonts w:ascii="Georgia" w:hAnsi="Georgia"/>
          <w:b/>
          <w:color w:val="14304F"/>
          <w:sz w:val="28"/>
        </w:rPr>
        <w:t>La structure en dix lignes</w:t>
      </w:r>
    </w:p>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color w:val="14304F"/>
                <w:sz w:val="26"/>
              </w:rPr>
              <w:t>2 lignes</w:t>
            </w:r>
          </w:p>
          <w:p>
            <w:r>
              <w:rPr>
                <w:b/>
                <w:color w:val="14304F"/>
              </w:rPr>
              <w:t>Votre recherche</w:t>
            </w:r>
          </w:p>
          <w:p>
            <w:r>
              <w:t>Ce que vous rendez visible, et pourquoi.</w:t>
            </w:r>
          </w:p>
        </w:tc>
        <w:tc>
          <w:tcPr>
            <w:tcW w:type="dxa" w:w="3289"/>
            <w:shd w:val="clear" w:color="auto" w:fill="f6ebda"/>
          </w:tcPr>
          <w:p>
            <w:r>
              <w:rPr>
                <w:b/>
                <w:color w:val="9A6420"/>
                <w:sz w:val="26"/>
              </w:rPr>
              <w:t>7 lignes</w:t>
            </w:r>
          </w:p>
          <w:p>
            <w:r>
              <w:rPr>
                <w:b/>
                <w:color w:val="9A6420"/>
              </w:rPr>
              <w:t>La technique et les matériaux</w:t>
            </w:r>
          </w:p>
          <w:p>
            <w:r>
              <w:t>Comment vous fabriquez l'image, et ce que ces choix produisent.</w:t>
            </w:r>
          </w:p>
        </w:tc>
        <w:tc>
          <w:tcPr>
            <w:tcW w:type="dxa" w:w="3289"/>
            <w:shd w:val="clear" w:color="auto" w:fill="e2f0e7"/>
          </w:tcPr>
          <w:p>
            <w:r>
              <w:rPr>
                <w:b/>
                <w:color w:val="2F6B4C"/>
                <w:sz w:val="26"/>
              </w:rPr>
              <w:t>1 ligne</w:t>
            </w:r>
          </w:p>
          <w:p>
            <w:r>
              <w:rPr>
                <w:b/>
                <w:color w:val="2F6B4C"/>
              </w:rPr>
              <w:t>L'expérience du spectateur</w:t>
            </w:r>
          </w:p>
          <w:p>
            <w:r>
              <w:t>Ce qui se passe devant l'œuvre.</w:t>
            </w:r>
          </w:p>
        </w:tc>
      </w:tr>
    </w:tbl>
    <w:p>
      <w:r>
        <w:br w:type="page"/>
      </w:r>
    </w:p>
    <w:p>
      <w:pPr>
        <w:spacing w:before="280" w:after="120"/>
      </w:pPr>
      <w:r>
        <w:rPr>
          <w:b/>
          <w:color w:val="9A6420"/>
          <w:sz w:val="28"/>
        </w:rPr>
        <w:t xml:space="preserve">5  </w:t>
      </w:r>
      <w:r>
        <w:rPr>
          <w:rFonts w:ascii="Georgia" w:hAnsi="Georgia"/>
          <w:b/>
          <w:color w:val="14304F"/>
          <w:sz w:val="28"/>
        </w:rPr>
        <w:t>Quatre démarches d'artistes commentées</w:t>
      </w:r>
    </w:p>
    <w:p>
      <w:pPr>
        <w:spacing w:after="80"/>
      </w:pPr>
      <w:r>
        <w:rPr>
          <w:b w:val="0"/>
          <w:i/>
          <w:color w:val="555555"/>
          <w:sz w:val="19"/>
        </w:rPr>
        <w:t>Quatre démarches réelles, présentées pendant le webinaire. Elles sont citées en courts extraits, avec leur source : lisez-les en entier sur le site de chaque artiste. Les commentaires reprennent ceux de l'intervenant. Les couleurs signalent la structure : recherche, technique, spectateur.</w:t>
      </w:r>
    </w:p>
    <w:p>
      <w:pPr>
        <w:spacing w:after="120"/>
      </w:pPr>
      <w:r>
        <w:rPr>
          <w:b/>
          <w:color w:val="14304F"/>
          <w:sz w:val="18"/>
          <w:shd w:val="clear" w:color="auto" w:fill="e4eaf3"/>
        </w:rPr>
        <w:t xml:space="preserve"> Votre recherche </w:t>
      </w:r>
      <w:r>
        <w:t xml:space="preserve">  </w:t>
      </w:r>
      <w:r>
        <w:rPr>
          <w:b/>
          <w:color w:val="9A6420"/>
          <w:sz w:val="18"/>
          <w:shd w:val="clear" w:color="auto" w:fill="f6ebda"/>
        </w:rPr>
        <w:t xml:space="preserve"> La technique et les matériaux </w:t>
      </w:r>
      <w:r>
        <w:t xml:space="preserve">  </w:t>
      </w:r>
      <w:r>
        <w:rPr>
          <w:b/>
          <w:color w:val="2F6B4C"/>
          <w:sz w:val="18"/>
          <w:shd w:val="clear" w:color="auto" w:fill="e2f0e7"/>
        </w:rPr>
        <w:t xml:space="preserve"> L'expérience du spectateur </w:t>
      </w:r>
      <w:r>
        <w:t xml:space="preserve">  </w:t>
      </w:r>
    </w:p>
    <w:p>
      <w:pPr>
        <w:spacing w:after="40"/>
      </w:pPr>
      <w:r>
        <w:rPr>
          <w:b/>
          <w:color w:val="14304F"/>
          <w:sz w:val="24"/>
        </w:rPr>
        <w:t>Annie Briard · l'image qui ne représente rien</w:t>
      </w:r>
      <w:r>
        <w:rPr>
          <w:color w:val="9A6420"/>
          <w:sz w:val="17"/>
        </w:rPr>
        <w:t xml:space="preserve">   ANICONIQUE</w:t>
      </w:r>
    </w:p>
    <w:p>
      <w:pPr>
        <w:spacing w:after="40"/>
        <w:ind w:left="283"/>
      </w:pPr>
      <w:r>
        <w:t xml:space="preserve">« </w:t>
      </w:r>
      <w:r>
        <w:rPr>
          <w:shd w:val="clear" w:color="auto" w:fill="e4eaf3"/>
        </w:rPr>
        <w:t>L'expérience phénoménologique de la réalité versus l'imaginaire formule une thématique à la base de sa pratique artistique.</w:t>
      </w:r>
      <w:r>
        <w:t xml:space="preserve"> </w:t>
      </w:r>
      <w:r>
        <w:t>[…]</w:t>
      </w:r>
      <w:r>
        <w:t xml:space="preserve"> </w:t>
      </w:r>
      <w:r>
        <w:rPr>
          <w:shd w:val="clear" w:color="auto" w:fill="f6ebda"/>
        </w:rPr>
        <w:t>Souvent sous forme d'installation, ses œuvres sont constituées soit d'images captées et réinterprétées ou entièrement simulées, et d'illusions visuelles immersives</w:t>
      </w:r>
      <w:r>
        <w:t xml:space="preserve"> </w:t>
      </w:r>
      <w:r>
        <w:rPr>
          <w:shd w:val="clear" w:color="auto" w:fill="e2f0e7"/>
        </w:rPr>
        <w:t>afin d'offrir une expérience personnelle pour son public.</w:t>
      </w:r>
      <w:r>
        <w:t xml:space="preserve"> »</w:t>
      </w:r>
    </w:p>
    <w:p>
      <w:pPr>
        <w:spacing w:after="60"/>
        <w:ind w:left="283"/>
      </w:pPr>
      <w:r>
        <w:rPr>
          <w:b w:val="0"/>
          <w:i w:val="0"/>
          <w:color w:val="777777"/>
          <w:sz w:val="17"/>
        </w:rPr>
        <w:t>Démarche publiée par L'Artothèque (Montréal) pour l'exposition « L'instabilité du réel », 2021. Site : anniebriard.com</w:t>
      </w:r>
    </w:p>
    <w:p>
      <w:pPr>
        <w:spacing w:after="240"/>
      </w:pPr>
      <w:r>
        <w:rPr>
          <w:b w:val="0"/>
          <w:i w:val="0"/>
          <w:color w:val="444444"/>
          <w:sz w:val="19"/>
        </w:rPr>
        <w:t>→ Une image qui ne fait référence à rien, et pourtant une démarche. L'art optique et les motifs aniconiques venus de la Grèce antique nourrissent son travail : elle ne fait pas partie de ce mouvement, mais elle s'inscrit dans cette histoire. Sa démarche est construite simplement : ce qu'elle recherche, puis son dispositif formel. La vidéo et l'installation créent des illusions qui jouent sur la faillibilité de l'œil, pour nous emmener ailleurs, dans un monde presque méditatif, celui du rêve.</w:t>
      </w:r>
    </w:p>
    <w:p>
      <w:pPr>
        <w:spacing w:after="40"/>
      </w:pPr>
      <w:r>
        <w:rPr>
          <w:b/>
          <w:color w:val="14304F"/>
          <w:sz w:val="24"/>
        </w:rPr>
        <w:t>Cressanne · le geste et la figure</w:t>
      </w:r>
      <w:r>
        <w:rPr>
          <w:color w:val="9A6420"/>
          <w:sz w:val="17"/>
        </w:rPr>
        <w:t xml:space="preserve">   FIGURATION ET MOUVEMENT</w:t>
      </w:r>
    </w:p>
    <w:p>
      <w:pPr>
        <w:spacing w:after="40"/>
        <w:ind w:left="283"/>
      </w:pPr>
      <w:r>
        <w:t xml:space="preserve">« </w:t>
      </w:r>
      <w:r>
        <w:rPr>
          <w:shd w:val="clear" w:color="auto" w:fill="e4eaf3"/>
        </w:rPr>
        <w:t>Entre gravitation et légèreté, mes œuvres cherchent à révéler la force, la joie et le souffle de la vie dans un équilibre vibrant.</w:t>
      </w:r>
      <w:r>
        <w:t xml:space="preserve"> </w:t>
      </w:r>
      <w:r>
        <w:t>[…]</w:t>
      </w:r>
      <w:r>
        <w:t xml:space="preserve"> </w:t>
      </w:r>
      <w:r>
        <w:rPr>
          <w:shd w:val="clear" w:color="auto" w:fill="f6ebda"/>
        </w:rPr>
        <w:t>D'un chaos originel de couleurs spontanées et puissantes, je fais naître l'ordre.</w:t>
      </w:r>
      <w:r>
        <w:t xml:space="preserve"> »</w:t>
      </w:r>
    </w:p>
    <w:p>
      <w:pPr>
        <w:spacing w:after="60"/>
        <w:ind w:left="283"/>
      </w:pPr>
      <w:r>
        <w:rPr>
          <w:b w:val="0"/>
          <w:i w:val="0"/>
          <w:color w:val="777777"/>
          <w:sz w:val="17"/>
        </w:rPr>
        <w:t>Démarche publiée sur le site de l'artiste, page « À propos », consultée le 4 octobre 2026. Site : cressanne.fr</w:t>
      </w:r>
    </w:p>
    <w:p>
      <w:pPr>
        <w:spacing w:after="240"/>
      </w:pPr>
      <w:r>
        <w:rPr>
          <w:b w:val="0"/>
          <w:i w:val="0"/>
          <w:color w:val="444444"/>
          <w:sz w:val="19"/>
        </w:rPr>
        <w:t>→ Cressanne cherche à la fois à figurer, en donnant par quelques traits l'image d'une personne, et à donner l'illusion d'un mouvement par la trace de couleur. Ce n'est pas du dripping, mais un jeu sur les couleurs : on reconnaît quelqu'un, et pourtant tout bouge. Son texte suit l'ordre de la méthode : la recherche d'abord, puis le comment. On y lit à la fois la trace du geste, qui figure le mouvement, et les lignes, qui figurent le modèle.</w:t>
      </w:r>
    </w:p>
    <w:p>
      <w:pPr>
        <w:spacing w:after="40"/>
      </w:pPr>
      <w:r>
        <w:rPr>
          <w:b/>
          <w:color w:val="14304F"/>
          <w:sz w:val="24"/>
        </w:rPr>
        <w:t>Sarah Clotuche · un autre système de pensée</w:t>
      </w:r>
      <w:r>
        <w:rPr>
          <w:color w:val="9A6420"/>
          <w:sz w:val="17"/>
        </w:rPr>
        <w:t xml:space="preserve">   FIGURES HYBRIDES</w:t>
      </w:r>
    </w:p>
    <w:p>
      <w:pPr>
        <w:spacing w:after="40"/>
        <w:ind w:left="283"/>
      </w:pPr>
      <w:r>
        <w:t xml:space="preserve">« </w:t>
      </w:r>
      <w:r>
        <w:rPr>
          <w:shd w:val="clear" w:color="auto" w:fill="e4eaf3"/>
        </w:rPr>
        <w:t>Inspirée par une pensée animiste, le sujet du métissage et des origines est au cœur de sa réflexion artistique, questionnant la relation entre nos parts d'humanité et d'animalité.</w:t>
      </w:r>
      <w:r>
        <w:t xml:space="preserve"> </w:t>
      </w:r>
      <w:r>
        <w:rPr>
          <w:shd w:val="clear" w:color="auto" w:fill="f6ebda"/>
        </w:rPr>
        <w:t>Ses sculptures sont plus en lien avec le rituel et la magie qu'avec un concept ou une technicité.</w:t>
      </w:r>
      <w:r>
        <w:t xml:space="preserve"> »</w:t>
      </w:r>
    </w:p>
    <w:p>
      <w:pPr>
        <w:spacing w:after="60"/>
        <w:ind w:left="283"/>
      </w:pPr>
      <w:r>
        <w:rPr>
          <w:b w:val="0"/>
          <w:i w:val="0"/>
          <w:color w:val="777777"/>
          <w:sz w:val="17"/>
        </w:rPr>
        <w:t>Texte de présentation publié sur le site de l'artiste, page « Démarche artistique », 2022. Site : sarahclotuche.com</w:t>
      </w:r>
    </w:p>
    <w:p>
      <w:pPr>
        <w:spacing w:after="240"/>
      </w:pPr>
      <w:r>
        <w:rPr>
          <w:b w:val="0"/>
          <w:i w:val="0"/>
          <w:color w:val="444444"/>
          <w:sz w:val="19"/>
        </w:rPr>
        <w:t>→ Dans nos sociétés, qui ne sont pas animistes, des artistes questionnent la séparation entre humains et non-humains, entre nature et culture, et se réapproprient d'autres systèmes de pensée pour créer de nouvelles images. Sarah Clotuche réinterprète la pensée animiste pour montrer que nous sommes, au même titre que les non-humains, à égalité dans ce qu'elle appelle « la toile du Vivant ». Ses figures animales à visage humain renvoient aux codes visuels de l'art inuit.</w:t>
      </w:r>
    </w:p>
    <w:p>
      <w:pPr>
        <w:spacing w:after="40"/>
      </w:pPr>
      <w:r>
        <w:rPr>
          <w:b/>
          <w:color w:val="14304F"/>
          <w:sz w:val="24"/>
        </w:rPr>
        <w:t>Gilles Teboul · figurer l'infigurable</w:t>
      </w:r>
      <w:r>
        <w:rPr>
          <w:color w:val="9A6420"/>
          <w:sz w:val="17"/>
        </w:rPr>
        <w:t xml:space="preserve">   ANICONIQUE</w:t>
      </w:r>
    </w:p>
    <w:p>
      <w:pPr>
        <w:spacing w:after="40"/>
        <w:ind w:left="283"/>
      </w:pPr>
      <w:r>
        <w:t xml:space="preserve">« </w:t>
      </w:r>
      <w:r>
        <w:rPr>
          <w:shd w:val="clear" w:color="auto" w:fill="e4eaf3"/>
        </w:rPr>
        <w:t>Avec ses peintures récentes, il va jusqu'à abolir toute implication gestuelle de l'artiste dans la production.</w:t>
      </w:r>
      <w:r>
        <w:t xml:space="preserve"> </w:t>
      </w:r>
      <w:r>
        <w:t>[…]</w:t>
      </w:r>
      <w:r>
        <w:t xml:space="preserve"> </w:t>
      </w:r>
      <w:r>
        <w:rPr>
          <w:shd w:val="clear" w:color="auto" w:fill="f6ebda"/>
        </w:rPr>
        <w:t>Teboul verse la peinture qui se répand sur la toile, sans qu'il intervienne dans son étalement.</w:t>
      </w:r>
      <w:r>
        <w:t xml:space="preserve"> </w:t>
      </w:r>
      <w:r>
        <w:t>[…]</w:t>
      </w:r>
      <w:r>
        <w:t xml:space="preserve"> </w:t>
      </w:r>
      <w:r>
        <w:rPr>
          <w:shd w:val="clear" w:color="auto" w:fill="f6ebda"/>
        </w:rPr>
        <w:t>Autrement dit, l'acte physique de la peinture cède la place à un procédé où la couleur dans la plus pure tradition acheiropoïète se couche d'elle-même sur la toile.</w:t>
      </w:r>
      <w:r>
        <w:t xml:space="preserve"> »</w:t>
      </w:r>
    </w:p>
    <w:p>
      <w:pPr>
        <w:spacing w:after="60"/>
        <w:ind w:left="283"/>
      </w:pPr>
      <w:r>
        <w:rPr>
          <w:b w:val="0"/>
          <w:i w:val="0"/>
          <w:color w:val="777777"/>
          <w:sz w:val="17"/>
        </w:rPr>
        <w:t>Texte de la Galerie Univer (Paris) pour l'exposition Gilles Teboul, 11 février - 12 mars 2016. Site : gillesteboul.com</w:t>
      </w:r>
    </w:p>
    <w:p>
      <w:pPr>
        <w:spacing w:after="240"/>
      </w:pPr>
      <w:r>
        <w:rPr>
          <w:b w:val="0"/>
          <w:i w:val="0"/>
          <w:color w:val="444444"/>
          <w:sz w:val="19"/>
        </w:rPr>
        <w:t>→ L'absence de titre montre déjà une volonté de ne faire référence à rien. Acheiropoïète veut dire « non fait de main d'homme » : c'est comme si la toile était apparue miraculeusement. Teboul cherche une couleur pure, qui serait avant la forme, un lieu avant la figuration, presque détaché de toute trace humaine : une réflexion mystique sur l'infigurable. Une démarche abstraite, qui peut aussi être spirituelle.</w:t>
      </w:r>
    </w:p>
    <w:p>
      <w:r>
        <w:br w:type="page"/>
      </w:r>
    </w:p>
    <w:p>
      <w:pPr>
        <w:spacing w:before="280" w:after="120"/>
      </w:pPr>
      <w:r>
        <w:rPr>
          <w:b/>
          <w:color w:val="9A6420"/>
          <w:sz w:val="28"/>
        </w:rPr>
        <w:t xml:space="preserve">6  </w:t>
      </w:r>
      <w:r>
        <w:rPr>
          <w:rFonts w:ascii="Georgia" w:hAnsi="Georgia"/>
          <w:b/>
          <w:color w:val="14304F"/>
          <w:sz w:val="28"/>
        </w:rPr>
        <w:t>À vous</w:t>
      </w:r>
    </w:p>
    <w:p>
      <w:pPr>
        <w:spacing w:after="80"/>
      </w:pPr>
      <w:r>
        <w:rPr>
          <w:b/>
          <w:i w:val="0"/>
        </w:rPr>
        <w:t>Votre cercle d'or en une phrase</w:t>
      </w:r>
    </w:p>
    <w:p>
      <w:pPr>
        <w:spacing w:after="80"/>
      </w:pPr>
      <w:r>
        <w:rPr>
          <w:b w:val="0"/>
          <w:i w:val="0"/>
        </w:rPr>
        <w:t>Je rends visible …………………………… par …………………………… sous la forme de …………………………….</w:t>
      </w:r>
    </w:p>
    <w:p>
      <w:pPr>
        <w:spacing w:after="80"/>
      </w:pPr>
      <w:r>
        <w:rPr>
          <w:b/>
          <w:i w:val="0"/>
        </w:rPr>
        <w:t>Votre démarche en dix lignes</w:t>
      </w:r>
    </w:p>
    <w:p>
      <w:pPr>
        <w:spacing w:after="40"/>
      </w:pPr>
      <w:r>
        <w:rPr>
          <w:b/>
          <w:color w:val="14304F"/>
        </w:rPr>
        <w:t>Votre recherche (2 lignes)</w:t>
      </w:r>
    </w:p>
    <w:tbl>
      <w:tblPr>
        <w:tblStyle w:val="TableGrid"/>
        <w:tblW w:type="auto" w:w="0"/>
        <w:tblLook w:firstColumn="1" w:firstRow="1" w:lastColumn="0" w:lastRow="0" w:noHBand="0" w:noVBand="1" w:val="04A0"/>
      </w:tblPr>
      <w:tblGrid>
        <w:gridCol w:w="9866"/>
      </w:tblGrid>
      <w:tr>
        <w:tc>
          <w:tcPr>
            <w:tcW w:type="dxa" w:w="9866"/>
            <w:shd w:val="clear" w:color="auto" w:fill="e4eaf3"/>
          </w:tcPr>
          <w:p>
            <w:r>
              <w:rPr>
                <w:color w:val="999999"/>
              </w:rPr>
              <w:t>Écrivez ici…</w:t>
            </w:r>
          </w:p>
          <w:p/>
          <w:p/>
        </w:tc>
      </w:tr>
    </w:tbl>
    <w:p>
      <w:pPr>
        <w:spacing w:after="40"/>
      </w:pPr>
    </w:p>
    <w:p>
      <w:pPr>
        <w:spacing w:after="40"/>
      </w:pPr>
      <w:r>
        <w:rPr>
          <w:b/>
          <w:color w:val="9A6420"/>
        </w:rPr>
        <w:t>La technique et les matériaux (7 lignes)</w:t>
      </w:r>
    </w:p>
    <w:tbl>
      <w:tblPr>
        <w:tblStyle w:val="TableGrid"/>
        <w:tblW w:type="auto" w:w="0"/>
        <w:tblLook w:firstColumn="1" w:firstRow="1" w:lastColumn="0" w:lastRow="0" w:noHBand="0" w:noVBand="1" w:val="04A0"/>
      </w:tblPr>
      <w:tblGrid>
        <w:gridCol w:w="9866"/>
      </w:tblGrid>
      <w:tr>
        <w:tc>
          <w:tcPr>
            <w:tcW w:type="dxa" w:w="9866"/>
            <w:shd w:val="clear" w:color="auto" w:fill="f6ebda"/>
          </w:tcPr>
          <w:p>
            <w:r>
              <w:rPr>
                <w:color w:val="999999"/>
              </w:rPr>
              <w:t>Écrivez ici…</w:t>
            </w:r>
          </w:p>
          <w:p/>
          <w:p/>
          <w:p/>
          <w:p/>
          <w:p/>
          <w:p/>
          <w:p/>
        </w:tc>
      </w:tr>
    </w:tbl>
    <w:p>
      <w:pPr>
        <w:spacing w:after="40"/>
      </w:pPr>
    </w:p>
    <w:p>
      <w:pPr>
        <w:spacing w:after="40"/>
      </w:pPr>
      <w:r>
        <w:rPr>
          <w:b/>
          <w:color w:val="2F6B4C"/>
        </w:rPr>
        <w:t>L'expérience du spectateur (1 ligne)</w:t>
      </w:r>
    </w:p>
    <w:tbl>
      <w:tblPr>
        <w:tblStyle w:val="TableGrid"/>
        <w:tblW w:type="auto" w:w="0"/>
        <w:tblLook w:firstColumn="1" w:firstRow="1" w:lastColumn="0" w:lastRow="0" w:noHBand="0" w:noVBand="1" w:val="04A0"/>
      </w:tblPr>
      <w:tblGrid>
        <w:gridCol w:w="9866"/>
      </w:tblGrid>
      <w:tr>
        <w:tc>
          <w:tcPr>
            <w:tcW w:type="dxa" w:w="9866"/>
            <w:shd w:val="clear" w:color="auto" w:fill="e2f0e7"/>
          </w:tcPr>
          <w:p>
            <w:r>
              <w:rPr>
                <w:color w:val="999999"/>
              </w:rPr>
              <w:t>Écrivez ici…</w:t>
            </w:r>
          </w:p>
          <w:p/>
        </w:tc>
      </w:tr>
    </w:tbl>
    <w:p>
      <w:pPr>
        <w:spacing w:after="40"/>
      </w:pPr>
    </w:p>
    <w:p>
      <w:pPr>
        <w:spacing w:after="80"/>
      </w:pPr>
      <w:r>
        <w:rPr>
          <w:b/>
          <w:i w:val="0"/>
        </w:rPr>
        <w:t>Relisez-vous avec cinq questions</w:t>
      </w:r>
    </w:p>
    <w:p>
      <w:pPr>
        <w:spacing w:after="40"/>
      </w:pPr>
      <w:r>
        <w:rPr>
          <w:b w:val="0"/>
          <w:i w:val="0"/>
        </w:rPr>
        <w:t>☐  Un lecteur qui ne connaît pas mon travail comprend-il ce que je rends visible ?</w:t>
      </w:r>
    </w:p>
    <w:p>
      <w:pPr>
        <w:spacing w:after="40"/>
      </w:pPr>
      <w:r>
        <w:rPr>
          <w:b w:val="0"/>
          <w:i w:val="0"/>
        </w:rPr>
        <w:t>☐  Le pourquoi et le comment sont-ils reliés, ou simplement juxtaposés ?</w:t>
      </w:r>
    </w:p>
    <w:p>
      <w:pPr>
        <w:spacing w:after="40"/>
      </w:pPr>
      <w:r>
        <w:rPr>
          <w:b w:val="0"/>
          <w:i w:val="0"/>
        </w:rPr>
        <w:t>☐  Chaque choix technique cité est-il justifié par ma recherche ?</w:t>
      </w:r>
    </w:p>
    <w:p>
      <w:pPr>
        <w:spacing w:after="40"/>
      </w:pPr>
      <w:r>
        <w:rPr>
          <w:b w:val="0"/>
          <w:i w:val="0"/>
        </w:rPr>
        <w:t>☐  Ai-je précisé les mots qui pourraient décrire n'importe quel artiste (« univers », « sensible », « émotion ») ?</w:t>
      </w:r>
    </w:p>
    <w:p>
      <w:pPr>
        <w:spacing w:after="40"/>
      </w:pPr>
      <w:r>
        <w:rPr>
          <w:b w:val="0"/>
          <w:i w:val="0"/>
        </w:rPr>
        <w:t>☐  Ai-je fait lire mon texte à un pair, pour un regard en miroir ?</w:t>
      </w:r>
    </w:p>
    <w:p>
      <w:pPr>
        <w:spacing w:after="80"/>
      </w:pPr>
      <w:r>
        <w:rPr>
          <w:b w:val="0"/>
          <w:i w:val="0"/>
          <w:color w:val="555555"/>
          <w:sz w:val="19"/>
        </w:rPr>
        <w:t>Le compte rendu complet du webinaire : lacondamine.org/blog/2023/09/28/5-octobre-2023-les-enjeux-de-la-creation-construire-une-demarche-artistique-vol-1/</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1, d'après le webinaire de Pierre-Benoit Roux du 5 octobre 2023.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Dix lignes pour commencer sa démarche artistique</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